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3412C" w14:textId="77777777" w:rsidR="009361B2" w:rsidRDefault="009361B2" w:rsidP="00C847CD">
      <w:pPr>
        <w:rPr>
          <w:rFonts w:ascii="Arial" w:hAnsi="Arial" w:cs="Arial"/>
          <w:b/>
          <w:sz w:val="22"/>
          <w:szCs w:val="22"/>
        </w:rPr>
      </w:pPr>
      <w:r>
        <w:rPr>
          <w:noProof/>
        </w:rPr>
        <mc:AlternateContent>
          <mc:Choice Requires="wpg">
            <w:drawing>
              <wp:anchor distT="0" distB="0" distL="114300" distR="114300" simplePos="0" relativeHeight="251659264" behindDoc="0" locked="0" layoutInCell="1" allowOverlap="1" wp14:anchorId="1C3EA8FF" wp14:editId="2AE5EDEB">
                <wp:simplePos x="0" y="0"/>
                <wp:positionH relativeFrom="column">
                  <wp:posOffset>-628650</wp:posOffset>
                </wp:positionH>
                <wp:positionV relativeFrom="paragraph">
                  <wp:posOffset>-723900</wp:posOffset>
                </wp:positionV>
                <wp:extent cx="10582275" cy="914400"/>
                <wp:effectExtent l="0" t="0" r="9525" b="0"/>
                <wp:wrapNone/>
                <wp:docPr id="1" name="Group 1"/>
                <wp:cNvGraphicFramePr/>
                <a:graphic xmlns:a="http://schemas.openxmlformats.org/drawingml/2006/main">
                  <a:graphicData uri="http://schemas.microsoft.com/office/word/2010/wordprocessingGroup">
                    <wpg:wgp>
                      <wpg:cNvGrpSpPr/>
                      <wpg:grpSpPr>
                        <a:xfrm>
                          <a:off x="0" y="0"/>
                          <a:ext cx="10582275" cy="914400"/>
                          <a:chOff x="0" y="0"/>
                          <a:chExt cx="10582275" cy="914400"/>
                        </a:xfrm>
                      </wpg:grpSpPr>
                      <wps:wsp>
                        <wps:cNvPr id="6" name="Rectangle 5">
                          <a:extLst>
                            <a:ext uri="{FF2B5EF4-FFF2-40B4-BE49-F238E27FC236}">
                              <a16:creationId xmlns:a16="http://schemas.microsoft.com/office/drawing/2014/main" id="{96106FD2-5705-4B80-AB14-3B2CD56A0E00}"/>
                            </a:ext>
                          </a:extLst>
                        </wps:cNvPr>
                        <wps:cNvSpPr/>
                        <wps:spPr>
                          <a:xfrm>
                            <a:off x="1933575" y="0"/>
                            <a:ext cx="8648700" cy="914400"/>
                          </a:xfrm>
                          <a:prstGeom prst="rect">
                            <a:avLst/>
                          </a:prstGeom>
                          <a:gradFill flip="none" rotWithShape="1">
                            <a:gsLst>
                              <a:gs pos="37000">
                                <a:srgbClr val="0081BB"/>
                              </a:gs>
                              <a:gs pos="21000">
                                <a:srgbClr val="0067A9"/>
                              </a:gs>
                              <a:gs pos="53000">
                                <a:srgbClr val="00A7DB"/>
                              </a:gs>
                              <a:gs pos="69000">
                                <a:srgbClr val="46B7E1"/>
                              </a:gs>
                              <a:gs pos="98230">
                                <a:srgbClr val="77D1EC"/>
                              </a:gs>
                              <a:gs pos="84000">
                                <a:srgbClr val="46B7E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7" descr="A close up of a logo&#10;&#10;Description generated with very high confidence">
                            <a:extLst>
                              <a:ext uri="{FF2B5EF4-FFF2-40B4-BE49-F238E27FC236}">
                                <a16:creationId xmlns:a16="http://schemas.microsoft.com/office/drawing/2014/main" id="{CDEDE5C1-8B64-4F7C-9BBE-95CA7E8F37B5}"/>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7993" t="16343" r="9045" b="15506"/>
                          <a:stretch/>
                        </pic:blipFill>
                        <pic:spPr>
                          <a:xfrm>
                            <a:off x="0" y="0"/>
                            <a:ext cx="1995170" cy="914400"/>
                          </a:xfrm>
                          <a:prstGeom prst="rect">
                            <a:avLst/>
                          </a:prstGeom>
                        </pic:spPr>
                      </pic:pic>
                      <wps:wsp>
                        <wps:cNvPr id="16" name="TextBox 15">
                          <a:extLst>
                            <a:ext uri="{FF2B5EF4-FFF2-40B4-BE49-F238E27FC236}">
                              <a16:creationId xmlns:a16="http://schemas.microsoft.com/office/drawing/2014/main" id="{DF7A1662-F7C3-4F0B-8DAD-C74B2B8675F4}"/>
                            </a:ext>
                          </a:extLst>
                        </wps:cNvPr>
                        <wps:cNvSpPr txBox="1"/>
                        <wps:spPr>
                          <a:xfrm>
                            <a:off x="2028825" y="323850"/>
                            <a:ext cx="5467350" cy="430530"/>
                          </a:xfrm>
                          <a:prstGeom prst="rect">
                            <a:avLst/>
                          </a:prstGeom>
                          <a:noFill/>
                        </wps:spPr>
                        <wps:txbx>
                          <w:txbxContent>
                            <w:p w14:paraId="449EB34D" w14:textId="77777777" w:rsidR="009361B2" w:rsidRDefault="009361B2" w:rsidP="009361B2">
                              <w:pPr>
                                <w:pStyle w:val="NormalWeb"/>
                                <w:spacing w:before="0" w:beforeAutospacing="0" w:after="0" w:afterAutospacing="0"/>
                                <w:rPr>
                                  <w:rFonts w:ascii="Helvetica" w:hAnsi="Helvetica" w:cs="Helvetica"/>
                                  <w:color w:val="FFFFFF" w:themeColor="background1"/>
                                  <w:kern w:val="24"/>
                                  <w:sz w:val="23"/>
                                  <w:szCs w:val="23"/>
                                </w:rPr>
                              </w:pPr>
                              <w:proofErr w:type="spellStart"/>
                              <w:r w:rsidRPr="009556D7">
                                <w:rPr>
                                  <w:rFonts w:ascii="Helvetica" w:hAnsi="Helvetica" w:cs="Helvetica"/>
                                  <w:color w:val="FFFFFF" w:themeColor="background1"/>
                                  <w:kern w:val="24"/>
                                  <w:sz w:val="23"/>
                                  <w:szCs w:val="23"/>
                                </w:rPr>
                                <w:t>Serle</w:t>
                              </w:r>
                              <w:proofErr w:type="spellEnd"/>
                              <w:r w:rsidRPr="009556D7">
                                <w:rPr>
                                  <w:rFonts w:ascii="Helvetica" w:hAnsi="Helvetica" w:cs="Helvetica"/>
                                  <w:color w:val="FFFFFF" w:themeColor="background1"/>
                                  <w:kern w:val="24"/>
                                  <w:sz w:val="23"/>
                                  <w:szCs w:val="23"/>
                                </w:rPr>
                                <w:t xml:space="preserve"> Court International Trusts and Commercial Litigation Conference 2018</w:t>
                              </w:r>
                            </w:p>
                            <w:p w14:paraId="17516A24" w14:textId="77777777" w:rsidR="009361B2" w:rsidRPr="009556D7" w:rsidRDefault="009361B2" w:rsidP="009361B2">
                              <w:pPr>
                                <w:pStyle w:val="NormalWeb"/>
                                <w:spacing w:before="0" w:beforeAutospacing="0" w:after="0" w:afterAutospacing="0"/>
                                <w:rPr>
                                  <w:sz w:val="23"/>
                                  <w:szCs w:val="23"/>
                                </w:rPr>
                              </w:pPr>
                              <w:r>
                                <w:rPr>
                                  <w:rFonts w:ascii="Helvetica" w:hAnsi="Helvetica" w:cs="Helvetica"/>
                                  <w:color w:val="FFFFFF" w:themeColor="background1"/>
                                  <w:kern w:val="24"/>
                                  <w:sz w:val="23"/>
                                  <w:szCs w:val="23"/>
                                </w:rPr>
                                <w:t>Monday 19 November 2018</w:t>
                              </w:r>
                            </w:p>
                          </w:txbxContent>
                        </wps:txbx>
                        <wps:bodyPr wrap="square" rtlCol="0">
                          <a:spAutoFit/>
                        </wps:bodyPr>
                      </wps:wsp>
                    </wpg:wgp>
                  </a:graphicData>
                </a:graphic>
              </wp:anchor>
            </w:drawing>
          </mc:Choice>
          <mc:Fallback>
            <w:pict>
              <v:group w14:anchorId="1C3EA8FF" id="Group 1" o:spid="_x0000_s1026" style="position:absolute;margin-left:-49.5pt;margin-top:-57pt;width:833.25pt;height:1in;z-index:251659264" coordsize="105822,91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ooor+yD+G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">
                <v:rect id="Rectangle 5" o:spid="_x0000_s1027" style="position:absolute;left:19335;width:86487;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" fillcolor="#0067a9" stroked="f" strokeweight="1pt">
                  <v:fill color2="#77d1ec" rotate="t" angle="90" colors="0 #0067a9;13763f #0067a9;24248f #0081bb;34734f #00a7db;45220f #46b7e1;55050f #46b7e1"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A close up of a logo&#10;&#10;Description generated with very high confidence" style="position:absolute;width:1995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">
                  <v:imagedata r:id="rId8" o:title="A close up of a logo&#10;&#10;Description generated with very high confidence" croptop="10711f" cropbottom="10162f" cropleft="5238f" cropright="5928f"/>
                </v:shape>
                <v:shapetype id="_x0000_t202" coordsize="21600,21600" o:spt="202" path="m,l,21600r21600,l21600,xe">
                  <v:stroke joinstyle="miter"/>
                  <v:path gradientshapeok="t" o:connecttype="rect"/>
                </v:shapetype>
                <v:shape id="TextBox 15" o:spid="_x0000_s1029" type="#_x0000_t202" style="position:absolute;left:20288;top:3238;width:54673;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449EB34D" w14:textId="77777777" w:rsidR="009361B2" w:rsidRDefault="009361B2" w:rsidP="009361B2">
                        <w:pPr>
                          <w:pStyle w:val="NormalWeb"/>
                          <w:spacing w:before="0" w:beforeAutospacing="0" w:after="0" w:afterAutospacing="0"/>
                          <w:rPr>
                            <w:rFonts w:ascii="Helvetica" w:hAnsi="Helvetica" w:cs="Helvetica"/>
                            <w:color w:val="FFFFFF" w:themeColor="background1"/>
                            <w:kern w:val="24"/>
                            <w:sz w:val="23"/>
                            <w:szCs w:val="23"/>
                          </w:rPr>
                        </w:pPr>
                        <w:proofErr w:type="spellStart"/>
                        <w:r w:rsidRPr="009556D7">
                          <w:rPr>
                            <w:rFonts w:ascii="Helvetica" w:hAnsi="Helvetica" w:cs="Helvetica"/>
                            <w:color w:val="FFFFFF" w:themeColor="background1"/>
                            <w:kern w:val="24"/>
                            <w:sz w:val="23"/>
                            <w:szCs w:val="23"/>
                          </w:rPr>
                          <w:t>Serle</w:t>
                        </w:r>
                        <w:proofErr w:type="spellEnd"/>
                        <w:r w:rsidRPr="009556D7">
                          <w:rPr>
                            <w:rFonts w:ascii="Helvetica" w:hAnsi="Helvetica" w:cs="Helvetica"/>
                            <w:color w:val="FFFFFF" w:themeColor="background1"/>
                            <w:kern w:val="24"/>
                            <w:sz w:val="23"/>
                            <w:szCs w:val="23"/>
                          </w:rPr>
                          <w:t xml:space="preserve"> Court International Trusts and Commercial Litigation Conference 2018</w:t>
                        </w:r>
                      </w:p>
                      <w:p w14:paraId="17516A24" w14:textId="77777777" w:rsidR="009361B2" w:rsidRPr="009556D7" w:rsidRDefault="009361B2" w:rsidP="009361B2">
                        <w:pPr>
                          <w:pStyle w:val="NormalWeb"/>
                          <w:spacing w:before="0" w:beforeAutospacing="0" w:after="0" w:afterAutospacing="0"/>
                          <w:rPr>
                            <w:sz w:val="23"/>
                            <w:szCs w:val="23"/>
                          </w:rPr>
                        </w:pPr>
                        <w:r>
                          <w:rPr>
                            <w:rFonts w:ascii="Helvetica" w:hAnsi="Helvetica" w:cs="Helvetica"/>
                            <w:color w:val="FFFFFF" w:themeColor="background1"/>
                            <w:kern w:val="24"/>
                            <w:sz w:val="23"/>
                            <w:szCs w:val="23"/>
                          </w:rPr>
                          <w:t>Monday 19 November 2018</w:t>
                        </w:r>
                      </w:p>
                    </w:txbxContent>
                  </v:textbox>
                </v:shape>
              </v:group>
            </w:pict>
          </mc:Fallback>
        </mc:AlternateContent>
      </w:r>
    </w:p>
    <w:p w14:paraId="11F7FFD7" w14:textId="77777777" w:rsidR="009361B2" w:rsidRDefault="009361B2" w:rsidP="00C847CD">
      <w:pPr>
        <w:rPr>
          <w:rFonts w:ascii="Arial" w:hAnsi="Arial" w:cs="Arial"/>
          <w:b/>
          <w:sz w:val="22"/>
          <w:szCs w:val="22"/>
        </w:rPr>
      </w:pPr>
    </w:p>
    <w:p w14:paraId="721EA030" w14:textId="77777777" w:rsidR="00C847CD" w:rsidRDefault="00C847CD" w:rsidP="00C847CD">
      <w:pPr>
        <w:rPr>
          <w:rFonts w:ascii="Arial" w:hAnsi="Arial" w:cs="Arial"/>
          <w:b/>
          <w:i/>
          <w:sz w:val="22"/>
          <w:szCs w:val="22"/>
        </w:rPr>
      </w:pPr>
      <w:r>
        <w:rPr>
          <w:rFonts w:ascii="Arial" w:hAnsi="Arial" w:cs="Arial"/>
          <w:b/>
          <w:sz w:val="22"/>
          <w:szCs w:val="22"/>
        </w:rPr>
        <w:t>Freezing Orders: A Return to Orthodoxy?</w:t>
      </w:r>
      <w:r>
        <w:rPr>
          <w:rFonts w:ascii="Arial" w:hAnsi="Arial" w:cs="Arial"/>
          <w:b/>
          <w:i/>
          <w:sz w:val="22"/>
          <w:szCs w:val="22"/>
        </w:rPr>
        <w:t xml:space="preserve"> </w:t>
      </w:r>
    </w:p>
    <w:p w14:paraId="1BF43D69" w14:textId="77777777" w:rsidR="00C847CD" w:rsidRDefault="00C847CD" w:rsidP="00C847CD">
      <w:pPr>
        <w:rPr>
          <w:rFonts w:ascii="Arial" w:hAnsi="Arial" w:cs="Arial"/>
          <w:b/>
          <w:sz w:val="22"/>
          <w:szCs w:val="22"/>
        </w:rPr>
      </w:pPr>
      <w:r w:rsidRPr="00C847CD">
        <w:rPr>
          <w:rFonts w:ascii="Arial" w:hAnsi="Arial" w:cs="Arial"/>
          <w:b/>
          <w:i/>
          <w:sz w:val="22"/>
          <w:szCs w:val="22"/>
        </w:rPr>
        <w:t>FM Capital Partners v Marino and others</w:t>
      </w:r>
      <w:r w:rsidRPr="00C847CD">
        <w:rPr>
          <w:rFonts w:ascii="Arial" w:hAnsi="Arial" w:cs="Arial"/>
          <w:b/>
          <w:sz w:val="22"/>
          <w:szCs w:val="22"/>
        </w:rPr>
        <w:t xml:space="preserve"> [2018] EWHC 2889 (Comm)</w:t>
      </w:r>
    </w:p>
    <w:p w14:paraId="03E4B53F" w14:textId="77777777" w:rsidR="00C847CD" w:rsidRDefault="00C847CD" w:rsidP="00C847CD">
      <w:pPr>
        <w:rPr>
          <w:rFonts w:ascii="Arial" w:hAnsi="Arial" w:cs="Arial"/>
          <w:b/>
          <w:sz w:val="22"/>
          <w:szCs w:val="22"/>
        </w:rPr>
      </w:pPr>
    </w:p>
    <w:p w14:paraId="7809EC07" w14:textId="77777777" w:rsidR="00C847CD" w:rsidRPr="00C847CD" w:rsidRDefault="00C847CD" w:rsidP="00C847CD">
      <w:pPr>
        <w:jc w:val="both"/>
        <w:rPr>
          <w:rFonts w:ascii="Arial" w:hAnsi="Arial" w:cs="Arial"/>
          <w:sz w:val="22"/>
          <w:szCs w:val="22"/>
          <w:u w:val="single"/>
        </w:rPr>
      </w:pPr>
      <w:r>
        <w:rPr>
          <w:rFonts w:ascii="Arial" w:hAnsi="Arial" w:cs="Arial"/>
          <w:sz w:val="22"/>
          <w:szCs w:val="22"/>
          <w:u w:val="single"/>
        </w:rPr>
        <w:t>Introduction</w:t>
      </w:r>
    </w:p>
    <w:p w14:paraId="2FB0C6F3" w14:textId="77777777" w:rsidR="00C847CD" w:rsidRDefault="00C847CD" w:rsidP="00C847CD">
      <w:pPr>
        <w:jc w:val="both"/>
        <w:rPr>
          <w:rFonts w:ascii="Arial" w:hAnsi="Arial" w:cs="Arial"/>
          <w:sz w:val="22"/>
          <w:szCs w:val="22"/>
        </w:rPr>
      </w:pPr>
    </w:p>
    <w:p w14:paraId="2BCD1C3D" w14:textId="77777777" w:rsidR="00C847CD" w:rsidRPr="00901A0C" w:rsidRDefault="00C847CD" w:rsidP="00C847CD">
      <w:pPr>
        <w:jc w:val="both"/>
        <w:rPr>
          <w:rFonts w:ascii="Arial" w:hAnsi="Arial" w:cs="Arial"/>
          <w:i/>
          <w:sz w:val="22"/>
          <w:szCs w:val="22"/>
        </w:rPr>
      </w:pPr>
      <w:r>
        <w:rPr>
          <w:rFonts w:ascii="Arial" w:hAnsi="Arial" w:cs="Arial"/>
          <w:sz w:val="22"/>
          <w:szCs w:val="22"/>
        </w:rPr>
        <w:t xml:space="preserve">Following the Supreme Court’s decision in </w:t>
      </w:r>
      <w:r>
        <w:rPr>
          <w:rFonts w:ascii="Arial" w:hAnsi="Arial" w:cs="Arial"/>
          <w:i/>
          <w:sz w:val="22"/>
          <w:szCs w:val="22"/>
        </w:rPr>
        <w:t xml:space="preserve">JSC BTA Bank v Ablyazov (No 10) </w:t>
      </w:r>
      <w:r>
        <w:rPr>
          <w:rFonts w:ascii="Arial" w:hAnsi="Arial" w:cs="Arial"/>
          <w:sz w:val="22"/>
          <w:szCs w:val="22"/>
        </w:rPr>
        <w:t xml:space="preserve">[2015] UKSC 64 there had been debate as to proper interpretation and application of the “extended definition” (as described by Christopher Clarke J in </w:t>
      </w:r>
      <w:r w:rsidR="00901A0C">
        <w:rPr>
          <w:rFonts w:ascii="Arial" w:hAnsi="Arial" w:cs="Arial"/>
          <w:i/>
          <w:sz w:val="22"/>
          <w:szCs w:val="22"/>
        </w:rPr>
        <w:t xml:space="preserve">JSC BTA Bank v </w:t>
      </w:r>
      <w:r>
        <w:rPr>
          <w:rFonts w:ascii="Arial" w:hAnsi="Arial" w:cs="Arial"/>
          <w:i/>
          <w:sz w:val="22"/>
          <w:szCs w:val="22"/>
        </w:rPr>
        <w:t>Ablyazov (No 5</w:t>
      </w:r>
      <w:r w:rsidR="00901A0C">
        <w:rPr>
          <w:rFonts w:ascii="Arial" w:hAnsi="Arial" w:cs="Arial"/>
          <w:i/>
          <w:sz w:val="22"/>
          <w:szCs w:val="22"/>
        </w:rPr>
        <w:t xml:space="preserve">) </w:t>
      </w:r>
      <w:r w:rsidR="00901A0C" w:rsidRPr="00901A0C">
        <w:rPr>
          <w:rFonts w:ascii="Arial" w:hAnsi="Arial" w:cs="Arial"/>
          <w:sz w:val="22"/>
          <w:szCs w:val="22"/>
        </w:rPr>
        <w:t>[2012] EWHC 1819 (Comm</w:t>
      </w:r>
      <w:r w:rsidR="00901A0C">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in standard form freezing injunctions.  In particular, could it bite on the assets of a non-defendant company of which the respondent to such an order was a 100% beneficial owner and director?  The recent decision of Peter MacDonald Eggers QC, sitting as a Deputy High Court </w:t>
      </w:r>
      <w:r w:rsidR="00901A0C">
        <w:rPr>
          <w:rFonts w:ascii="Arial" w:hAnsi="Arial" w:cs="Arial"/>
          <w:sz w:val="22"/>
          <w:szCs w:val="22"/>
        </w:rPr>
        <w:t>J</w:t>
      </w:r>
      <w:r>
        <w:rPr>
          <w:rFonts w:ascii="Arial" w:hAnsi="Arial" w:cs="Arial"/>
          <w:sz w:val="22"/>
          <w:szCs w:val="22"/>
        </w:rPr>
        <w:t>udge, provides welcome clarification and an affirmation of orthodox</w:t>
      </w:r>
      <w:r w:rsidR="00901A0C">
        <w:rPr>
          <w:rFonts w:ascii="Arial" w:hAnsi="Arial" w:cs="Arial"/>
          <w:sz w:val="22"/>
          <w:szCs w:val="22"/>
        </w:rPr>
        <w:t xml:space="preserve"> company law</w:t>
      </w:r>
      <w:r>
        <w:rPr>
          <w:rFonts w:ascii="Arial" w:hAnsi="Arial" w:cs="Arial"/>
          <w:sz w:val="22"/>
          <w:szCs w:val="22"/>
        </w:rPr>
        <w:t xml:space="preserve"> principles. </w:t>
      </w:r>
    </w:p>
    <w:p w14:paraId="76C12055" w14:textId="77777777" w:rsidR="00C847CD" w:rsidRDefault="00C847CD" w:rsidP="00C847CD">
      <w:pPr>
        <w:jc w:val="both"/>
        <w:rPr>
          <w:rFonts w:ascii="Arial" w:hAnsi="Arial" w:cs="Arial"/>
          <w:sz w:val="22"/>
          <w:szCs w:val="22"/>
        </w:rPr>
      </w:pPr>
    </w:p>
    <w:p w14:paraId="6A02445A" w14:textId="77777777" w:rsidR="00C847CD" w:rsidRPr="00C847CD" w:rsidRDefault="00C847CD" w:rsidP="00C847CD">
      <w:pPr>
        <w:jc w:val="both"/>
        <w:rPr>
          <w:rFonts w:ascii="Arial" w:hAnsi="Arial" w:cs="Arial"/>
          <w:sz w:val="22"/>
          <w:szCs w:val="22"/>
          <w:u w:val="single"/>
        </w:rPr>
      </w:pPr>
      <w:r>
        <w:rPr>
          <w:rFonts w:ascii="Arial" w:hAnsi="Arial" w:cs="Arial"/>
          <w:sz w:val="22"/>
          <w:szCs w:val="22"/>
          <w:u w:val="single"/>
        </w:rPr>
        <w:t>Application to vary the Freezing Order</w:t>
      </w:r>
    </w:p>
    <w:p w14:paraId="74052B0D" w14:textId="77777777" w:rsidR="00C847CD" w:rsidRDefault="00C847CD" w:rsidP="00C847CD">
      <w:pPr>
        <w:jc w:val="both"/>
        <w:rPr>
          <w:rFonts w:ascii="Arial" w:hAnsi="Arial" w:cs="Arial"/>
          <w:sz w:val="22"/>
          <w:szCs w:val="22"/>
        </w:rPr>
      </w:pPr>
    </w:p>
    <w:p w14:paraId="05518351" w14:textId="77777777" w:rsidR="00C847CD" w:rsidRDefault="00C847CD" w:rsidP="00C847CD">
      <w:pPr>
        <w:jc w:val="both"/>
        <w:rPr>
          <w:rFonts w:ascii="Arial" w:hAnsi="Arial" w:cs="Arial"/>
          <w:sz w:val="22"/>
          <w:szCs w:val="22"/>
        </w:rPr>
      </w:pPr>
      <w:r>
        <w:rPr>
          <w:rFonts w:ascii="Arial" w:hAnsi="Arial" w:cs="Arial"/>
          <w:sz w:val="22"/>
          <w:szCs w:val="22"/>
        </w:rPr>
        <w:t>The third defendant, Mr Ohmura, was made the subject of a freezing order including the extended definition after being found liable for dishonest assistance in the first defendant’s breach of fiduciary duty and bribery at trial.  He sought to challenge the terms of the freezing order, in particular:</w:t>
      </w:r>
    </w:p>
    <w:p w14:paraId="23277BFD" w14:textId="77777777" w:rsidR="00C847CD" w:rsidRDefault="00C847CD" w:rsidP="00C847CD">
      <w:pPr>
        <w:jc w:val="both"/>
        <w:rPr>
          <w:rFonts w:ascii="Arial" w:hAnsi="Arial" w:cs="Arial"/>
          <w:sz w:val="22"/>
          <w:szCs w:val="22"/>
        </w:rPr>
      </w:pPr>
    </w:p>
    <w:p w14:paraId="3CCC7047" w14:textId="77777777" w:rsidR="00C847CD" w:rsidRPr="00C847CD" w:rsidRDefault="00C847CD" w:rsidP="00C847CD">
      <w:pPr>
        <w:pStyle w:val="ListParagraph"/>
        <w:numPr>
          <w:ilvl w:val="0"/>
          <w:numId w:val="1"/>
        </w:numPr>
        <w:jc w:val="both"/>
        <w:rPr>
          <w:rFonts w:ascii="Arial" w:hAnsi="Arial" w:cs="Arial"/>
          <w:sz w:val="22"/>
          <w:szCs w:val="22"/>
        </w:rPr>
      </w:pPr>
      <w:r>
        <w:rPr>
          <w:rFonts w:ascii="Arial" w:hAnsi="Arial" w:cs="Arial"/>
          <w:sz w:val="22"/>
          <w:szCs w:val="22"/>
        </w:rPr>
        <w:t>W</w:t>
      </w:r>
      <w:r w:rsidRPr="00C847CD">
        <w:rPr>
          <w:rFonts w:ascii="Arial" w:hAnsi="Arial" w:cs="Arial"/>
          <w:sz w:val="22"/>
          <w:szCs w:val="22"/>
        </w:rPr>
        <w:t xml:space="preserve">ithin the </w:t>
      </w:r>
      <w:proofErr w:type="spellStart"/>
      <w:r w:rsidRPr="00C847CD">
        <w:rPr>
          <w:rFonts w:ascii="Arial" w:hAnsi="Arial" w:cs="Arial"/>
          <w:sz w:val="22"/>
          <w:szCs w:val="22"/>
        </w:rPr>
        <w:t>the</w:t>
      </w:r>
      <w:proofErr w:type="spellEnd"/>
      <w:r w:rsidRPr="00C847CD">
        <w:rPr>
          <w:rFonts w:ascii="Arial" w:hAnsi="Arial" w:cs="Arial"/>
          <w:sz w:val="22"/>
          <w:szCs w:val="22"/>
        </w:rPr>
        <w:t xml:space="preserve"> extended definition had been added ‘</w:t>
      </w:r>
      <w:r w:rsidRPr="00C847CD">
        <w:rPr>
          <w:rFonts w:ascii="Arial" w:hAnsi="Arial" w:cs="Arial"/>
          <w:i/>
          <w:sz w:val="22"/>
          <w:szCs w:val="22"/>
        </w:rPr>
        <w:t>a body corporate</w:t>
      </w:r>
      <w:r w:rsidRPr="00C847CD">
        <w:rPr>
          <w:rFonts w:ascii="Arial" w:hAnsi="Arial" w:cs="Arial"/>
          <w:sz w:val="22"/>
          <w:szCs w:val="22"/>
        </w:rPr>
        <w:t xml:space="preserve">’; and </w:t>
      </w:r>
    </w:p>
    <w:p w14:paraId="09FC25B1" w14:textId="77777777" w:rsidR="00C847CD" w:rsidRDefault="00C847CD" w:rsidP="00C847CD">
      <w:pPr>
        <w:pStyle w:val="ListParagraph"/>
        <w:numPr>
          <w:ilvl w:val="0"/>
          <w:numId w:val="1"/>
        </w:numPr>
        <w:jc w:val="both"/>
        <w:rPr>
          <w:rFonts w:ascii="Arial" w:hAnsi="Arial" w:cs="Arial"/>
          <w:sz w:val="22"/>
          <w:szCs w:val="22"/>
        </w:rPr>
      </w:pPr>
      <w:r>
        <w:rPr>
          <w:rFonts w:ascii="Arial" w:hAnsi="Arial" w:cs="Arial"/>
          <w:sz w:val="22"/>
          <w:szCs w:val="22"/>
        </w:rPr>
        <w:t>The order made specific reference to the assets of three non-defendant companies (‘</w:t>
      </w:r>
      <w:r>
        <w:rPr>
          <w:rFonts w:ascii="Arial" w:hAnsi="Arial" w:cs="Arial"/>
          <w:b/>
          <w:sz w:val="22"/>
          <w:szCs w:val="22"/>
        </w:rPr>
        <w:t>NDCs</w:t>
      </w:r>
      <w:r>
        <w:rPr>
          <w:rFonts w:ascii="Arial" w:hAnsi="Arial" w:cs="Arial"/>
          <w:sz w:val="22"/>
          <w:szCs w:val="22"/>
        </w:rPr>
        <w:t xml:space="preserve">’) in which Mr Ohmura was (directly or indirectly) 100% beneficial owner and of which he was a director along with his sister. </w:t>
      </w:r>
    </w:p>
    <w:p w14:paraId="293EBF3C" w14:textId="77777777" w:rsidR="00C847CD" w:rsidRPr="00C847CD" w:rsidRDefault="00C847CD" w:rsidP="00C847CD">
      <w:pPr>
        <w:pStyle w:val="ListParagraph"/>
        <w:rPr>
          <w:rFonts w:ascii="Arial" w:hAnsi="Arial" w:cs="Arial"/>
          <w:sz w:val="22"/>
          <w:szCs w:val="22"/>
        </w:rPr>
      </w:pPr>
    </w:p>
    <w:p w14:paraId="673B22A8" w14:textId="77777777" w:rsidR="00C847CD" w:rsidRDefault="00C847CD" w:rsidP="00C847CD">
      <w:pPr>
        <w:jc w:val="both"/>
        <w:rPr>
          <w:rFonts w:ascii="Arial" w:hAnsi="Arial" w:cs="Arial"/>
          <w:sz w:val="22"/>
          <w:szCs w:val="22"/>
        </w:rPr>
      </w:pPr>
      <w:r>
        <w:rPr>
          <w:rFonts w:ascii="Arial" w:hAnsi="Arial" w:cs="Arial"/>
          <w:sz w:val="22"/>
          <w:szCs w:val="22"/>
        </w:rPr>
        <w:t>Mr Ohmura said that those references ought to be removed as the assets of the NDCs properly belonged to the NDCs as legal persons not to Mr Ohmura</w:t>
      </w:r>
      <w:r w:rsidR="00901A0C">
        <w:rPr>
          <w:rFonts w:ascii="Arial" w:hAnsi="Arial" w:cs="Arial"/>
          <w:sz w:val="22"/>
          <w:szCs w:val="22"/>
        </w:rPr>
        <w:t>.</w:t>
      </w:r>
    </w:p>
    <w:p w14:paraId="62AD7A45" w14:textId="77777777" w:rsidR="00C847CD" w:rsidRDefault="00C847CD" w:rsidP="00C847CD">
      <w:pPr>
        <w:jc w:val="both"/>
        <w:rPr>
          <w:rFonts w:ascii="Arial" w:hAnsi="Arial" w:cs="Arial"/>
          <w:sz w:val="22"/>
          <w:szCs w:val="22"/>
        </w:rPr>
      </w:pPr>
    </w:p>
    <w:p w14:paraId="343890D8" w14:textId="77777777" w:rsidR="00C847CD" w:rsidRPr="00C847CD" w:rsidRDefault="00C847CD" w:rsidP="00C847CD">
      <w:pPr>
        <w:jc w:val="both"/>
        <w:rPr>
          <w:rFonts w:ascii="Arial" w:hAnsi="Arial" w:cs="Arial"/>
          <w:sz w:val="22"/>
          <w:szCs w:val="22"/>
          <w:u w:val="single"/>
        </w:rPr>
      </w:pPr>
      <w:r>
        <w:rPr>
          <w:rFonts w:ascii="Arial" w:hAnsi="Arial" w:cs="Arial"/>
          <w:sz w:val="22"/>
          <w:szCs w:val="22"/>
          <w:u w:val="single"/>
        </w:rPr>
        <w:t xml:space="preserve">Conflicting Authorities: Ownership v Control </w:t>
      </w:r>
    </w:p>
    <w:p w14:paraId="791977E5" w14:textId="77777777" w:rsidR="00C847CD" w:rsidRDefault="00C847CD" w:rsidP="00C847CD">
      <w:pPr>
        <w:jc w:val="both"/>
        <w:rPr>
          <w:rFonts w:ascii="Arial" w:hAnsi="Arial" w:cs="Arial"/>
          <w:sz w:val="22"/>
          <w:szCs w:val="22"/>
        </w:rPr>
      </w:pPr>
    </w:p>
    <w:p w14:paraId="61198CB1" w14:textId="77777777" w:rsidR="00C847CD" w:rsidRDefault="00C847CD" w:rsidP="00C847CD">
      <w:pPr>
        <w:jc w:val="both"/>
        <w:rPr>
          <w:rFonts w:ascii="Arial" w:hAnsi="Arial" w:cs="Arial"/>
          <w:sz w:val="22"/>
          <w:szCs w:val="22"/>
        </w:rPr>
      </w:pPr>
      <w:r>
        <w:rPr>
          <w:rFonts w:ascii="Arial" w:hAnsi="Arial" w:cs="Arial"/>
          <w:sz w:val="22"/>
          <w:szCs w:val="22"/>
        </w:rPr>
        <w:t xml:space="preserve">As a matter of orthodox company law, Mr Ohmura appeared to have the better of the argument.  Indeed, the Court of Appeal confirmed as much in </w:t>
      </w:r>
      <w:proofErr w:type="spellStart"/>
      <w:r>
        <w:rPr>
          <w:rFonts w:ascii="Arial" w:hAnsi="Arial" w:cs="Arial"/>
          <w:i/>
          <w:sz w:val="22"/>
          <w:szCs w:val="22"/>
        </w:rPr>
        <w:t>Lakatamia</w:t>
      </w:r>
      <w:proofErr w:type="spellEnd"/>
      <w:r>
        <w:rPr>
          <w:rFonts w:ascii="Arial" w:hAnsi="Arial" w:cs="Arial"/>
          <w:i/>
          <w:sz w:val="22"/>
          <w:szCs w:val="22"/>
        </w:rPr>
        <w:t xml:space="preserve"> Shipping Co Ltd v </w:t>
      </w:r>
      <w:proofErr w:type="spellStart"/>
      <w:r>
        <w:rPr>
          <w:rFonts w:ascii="Arial" w:hAnsi="Arial" w:cs="Arial"/>
          <w:i/>
          <w:sz w:val="22"/>
          <w:szCs w:val="22"/>
        </w:rPr>
        <w:t>Su</w:t>
      </w:r>
      <w:proofErr w:type="spellEnd"/>
      <w:r>
        <w:rPr>
          <w:rFonts w:ascii="Arial" w:hAnsi="Arial" w:cs="Arial"/>
          <w:i/>
          <w:sz w:val="22"/>
          <w:szCs w:val="22"/>
        </w:rPr>
        <w:t xml:space="preserve"> </w:t>
      </w:r>
      <w:r>
        <w:rPr>
          <w:rFonts w:ascii="Arial" w:hAnsi="Arial" w:cs="Arial"/>
          <w:sz w:val="22"/>
          <w:szCs w:val="22"/>
        </w:rPr>
        <w:t xml:space="preserve">[2014] EWCA </w:t>
      </w:r>
      <w:proofErr w:type="spellStart"/>
      <w:r>
        <w:rPr>
          <w:rFonts w:ascii="Arial" w:hAnsi="Arial" w:cs="Arial"/>
          <w:sz w:val="22"/>
          <w:szCs w:val="22"/>
        </w:rPr>
        <w:t>Civ</w:t>
      </w:r>
      <w:proofErr w:type="spellEnd"/>
      <w:r>
        <w:rPr>
          <w:rFonts w:ascii="Arial" w:hAnsi="Arial" w:cs="Arial"/>
          <w:sz w:val="22"/>
          <w:szCs w:val="22"/>
        </w:rPr>
        <w:t xml:space="preserve"> 636. Rejecting Beatson J’s first instance ruling that the assets of such NDCs fell within the extended definition by virtue of the respondent’s control of them </w:t>
      </w:r>
      <w:r>
        <w:rPr>
          <w:rFonts w:ascii="Arial" w:hAnsi="Arial" w:cs="Arial"/>
          <w:i/>
          <w:sz w:val="22"/>
          <w:szCs w:val="22"/>
        </w:rPr>
        <w:t>qua</w:t>
      </w:r>
      <w:r>
        <w:rPr>
          <w:rFonts w:ascii="Arial" w:hAnsi="Arial" w:cs="Arial"/>
          <w:sz w:val="22"/>
          <w:szCs w:val="22"/>
        </w:rPr>
        <w:t xml:space="preserve"> shareholder as ‘</w:t>
      </w:r>
      <w:r>
        <w:rPr>
          <w:rFonts w:ascii="Arial" w:hAnsi="Arial" w:cs="Arial"/>
          <w:i/>
          <w:sz w:val="22"/>
          <w:szCs w:val="22"/>
        </w:rPr>
        <w:t>heretical</w:t>
      </w:r>
      <w:r>
        <w:rPr>
          <w:rFonts w:ascii="Arial" w:hAnsi="Arial" w:cs="Arial"/>
          <w:sz w:val="22"/>
          <w:szCs w:val="22"/>
        </w:rPr>
        <w:t xml:space="preserve">’, the Court of Appeal held that a freezing order was only meant to cover assets belonging to the Respondent.  All the extended definition was designed to do was bring in assets held by </w:t>
      </w:r>
      <w:r w:rsidR="00901A0C">
        <w:rPr>
          <w:rFonts w:ascii="Arial" w:hAnsi="Arial" w:cs="Arial"/>
          <w:sz w:val="22"/>
          <w:szCs w:val="22"/>
        </w:rPr>
        <w:t xml:space="preserve">a </w:t>
      </w:r>
      <w:r>
        <w:rPr>
          <w:rFonts w:ascii="Arial" w:hAnsi="Arial" w:cs="Arial"/>
          <w:sz w:val="22"/>
          <w:szCs w:val="22"/>
        </w:rPr>
        <w:t xml:space="preserve">third party as trustee to the Respondent’s instructions.  As Sir Bernard Rix confirmed, it was not right to say that a 100% shareholder-director was “instructing” the company when he </w:t>
      </w:r>
      <w:r>
        <w:rPr>
          <w:rFonts w:ascii="Arial" w:hAnsi="Arial" w:cs="Arial"/>
          <w:i/>
          <w:sz w:val="22"/>
          <w:szCs w:val="22"/>
        </w:rPr>
        <w:t>qua</w:t>
      </w:r>
      <w:r>
        <w:rPr>
          <w:rFonts w:ascii="Arial" w:hAnsi="Arial" w:cs="Arial"/>
          <w:sz w:val="22"/>
          <w:szCs w:val="22"/>
        </w:rPr>
        <w:t xml:space="preserve"> director caused it to dispose of assets; rather, he did so as the company’s agent.  The appeal was ultimately dismissed, however, on the basis that it was appropriate to impose notice requirements that covered a respondent’s dealings </w:t>
      </w:r>
      <w:r>
        <w:rPr>
          <w:rFonts w:ascii="Arial" w:hAnsi="Arial" w:cs="Arial"/>
          <w:i/>
          <w:sz w:val="22"/>
          <w:szCs w:val="22"/>
        </w:rPr>
        <w:t>qua</w:t>
      </w:r>
      <w:r>
        <w:rPr>
          <w:rFonts w:ascii="Arial" w:hAnsi="Arial" w:cs="Arial"/>
          <w:sz w:val="22"/>
          <w:szCs w:val="22"/>
        </w:rPr>
        <w:t xml:space="preserve"> director (subject to ordinary business exceptions) as those could diminish the value of the shares which were relevant assets.</w:t>
      </w:r>
    </w:p>
    <w:p w14:paraId="2C374FEC" w14:textId="77777777" w:rsidR="00C847CD" w:rsidRDefault="00C847CD" w:rsidP="00C847CD">
      <w:pPr>
        <w:jc w:val="both"/>
        <w:rPr>
          <w:rFonts w:ascii="Arial" w:hAnsi="Arial" w:cs="Arial"/>
          <w:sz w:val="22"/>
          <w:szCs w:val="22"/>
        </w:rPr>
      </w:pPr>
    </w:p>
    <w:p w14:paraId="6101E09B" w14:textId="77777777" w:rsidR="00C847CD" w:rsidRDefault="00C847CD" w:rsidP="00C847CD">
      <w:pPr>
        <w:jc w:val="both"/>
        <w:rPr>
          <w:rFonts w:ascii="Arial" w:hAnsi="Arial" w:cs="Arial"/>
          <w:sz w:val="22"/>
          <w:szCs w:val="22"/>
        </w:rPr>
      </w:pPr>
      <w:r>
        <w:rPr>
          <w:rFonts w:ascii="Arial" w:hAnsi="Arial" w:cs="Arial"/>
          <w:sz w:val="22"/>
          <w:szCs w:val="22"/>
        </w:rPr>
        <w:t xml:space="preserve">The extended definition was considered again by the Supreme Court in </w:t>
      </w:r>
      <w:r>
        <w:rPr>
          <w:rFonts w:ascii="Arial" w:hAnsi="Arial" w:cs="Arial"/>
          <w:i/>
          <w:sz w:val="22"/>
          <w:szCs w:val="22"/>
        </w:rPr>
        <w:t>Ablyazov (No 10</w:t>
      </w:r>
      <w:r w:rsidRPr="00901A0C">
        <w:rPr>
          <w:rFonts w:ascii="Arial" w:hAnsi="Arial" w:cs="Arial"/>
          <w:i/>
          <w:sz w:val="22"/>
          <w:szCs w:val="22"/>
        </w:rPr>
        <w:t>)</w:t>
      </w:r>
      <w:r>
        <w:rPr>
          <w:rFonts w:ascii="Arial" w:hAnsi="Arial" w:cs="Arial"/>
          <w:sz w:val="22"/>
          <w:szCs w:val="22"/>
        </w:rPr>
        <w:t xml:space="preserve">.  That case did not involve NDCs; rather, the Respondent had, subsequent to the freezing order being made, entered into certain agreements for the provision of loans.  The terms permitted him to use those funds at his sole discretion and to direct the lender to pay those monies to third parties.  Lord Clarke, delivering the judgment of the court, held that as matter of </w:t>
      </w:r>
      <w:r w:rsidR="00901A0C">
        <w:rPr>
          <w:rFonts w:ascii="Arial" w:hAnsi="Arial" w:cs="Arial"/>
          <w:sz w:val="22"/>
          <w:szCs w:val="22"/>
        </w:rPr>
        <w:t>settled</w:t>
      </w:r>
      <w:r>
        <w:rPr>
          <w:rFonts w:ascii="Arial" w:hAnsi="Arial" w:cs="Arial"/>
          <w:sz w:val="22"/>
          <w:szCs w:val="22"/>
        </w:rPr>
        <w:t xml:space="preserve"> principles applicable to freezing orders, a chose in action in the form of the right to draw down lending was not an “asset” per se.  Crucially, however, Lord Clarke found it could fall within th</w:t>
      </w:r>
      <w:r w:rsidR="00901A0C">
        <w:rPr>
          <w:rFonts w:ascii="Arial" w:hAnsi="Arial" w:cs="Arial"/>
          <w:sz w:val="22"/>
          <w:szCs w:val="22"/>
        </w:rPr>
        <w:t>e</w:t>
      </w:r>
      <w:r>
        <w:rPr>
          <w:rFonts w:ascii="Arial" w:hAnsi="Arial" w:cs="Arial"/>
          <w:sz w:val="22"/>
          <w:szCs w:val="22"/>
        </w:rPr>
        <w:t xml:space="preserve"> extended definition.  This was because the ‘</w:t>
      </w:r>
      <w:r>
        <w:rPr>
          <w:rFonts w:ascii="Arial" w:hAnsi="Arial" w:cs="Arial"/>
          <w:i/>
          <w:sz w:val="22"/>
          <w:szCs w:val="22"/>
        </w:rPr>
        <w:t>whole focus</w:t>
      </w:r>
      <w:r>
        <w:rPr>
          <w:rFonts w:ascii="Arial" w:hAnsi="Arial" w:cs="Arial"/>
          <w:sz w:val="22"/>
          <w:szCs w:val="22"/>
        </w:rPr>
        <w:t xml:space="preserve">’ of that extension was to cover assets that did </w:t>
      </w:r>
      <w:r>
        <w:rPr>
          <w:rFonts w:ascii="Arial" w:hAnsi="Arial" w:cs="Arial"/>
          <w:i/>
          <w:sz w:val="22"/>
          <w:szCs w:val="22"/>
        </w:rPr>
        <w:t>not</w:t>
      </w:r>
      <w:r>
        <w:rPr>
          <w:rFonts w:ascii="Arial" w:hAnsi="Arial" w:cs="Arial"/>
          <w:sz w:val="22"/>
          <w:szCs w:val="22"/>
        </w:rPr>
        <w:t xml:space="preserve"> belong to the Respondent (legally or beneficially) but which he controlled and a power to dispose</w:t>
      </w:r>
      <w:r w:rsidR="00901A0C">
        <w:rPr>
          <w:rFonts w:ascii="Arial" w:hAnsi="Arial" w:cs="Arial"/>
          <w:sz w:val="22"/>
          <w:szCs w:val="22"/>
        </w:rPr>
        <w:t xml:space="preserve"> of</w:t>
      </w:r>
      <w:r>
        <w:rPr>
          <w:rFonts w:ascii="Arial" w:hAnsi="Arial" w:cs="Arial"/>
          <w:sz w:val="22"/>
          <w:szCs w:val="22"/>
        </w:rPr>
        <w:t>.</w:t>
      </w:r>
    </w:p>
    <w:p w14:paraId="20128C47" w14:textId="77777777" w:rsidR="00C847CD" w:rsidRDefault="00C847CD" w:rsidP="00C847CD">
      <w:pPr>
        <w:jc w:val="both"/>
        <w:rPr>
          <w:rFonts w:ascii="Arial" w:hAnsi="Arial" w:cs="Arial"/>
          <w:sz w:val="22"/>
          <w:szCs w:val="22"/>
        </w:rPr>
      </w:pPr>
    </w:p>
    <w:p w14:paraId="029C3DD6" w14:textId="77777777" w:rsidR="00C847CD" w:rsidRPr="00C847CD" w:rsidRDefault="00C847CD" w:rsidP="00C847CD">
      <w:pPr>
        <w:jc w:val="both"/>
        <w:rPr>
          <w:rFonts w:ascii="Arial" w:hAnsi="Arial" w:cs="Arial"/>
          <w:sz w:val="22"/>
          <w:szCs w:val="22"/>
          <w:u w:val="single"/>
        </w:rPr>
      </w:pPr>
      <w:r>
        <w:rPr>
          <w:rFonts w:ascii="Arial" w:hAnsi="Arial" w:cs="Arial"/>
          <w:sz w:val="22"/>
          <w:szCs w:val="22"/>
          <w:u w:val="single"/>
        </w:rPr>
        <w:t>Reconciliation and Return to Orthodoxy</w:t>
      </w:r>
    </w:p>
    <w:p w14:paraId="3EFCFD81" w14:textId="77777777" w:rsidR="00C847CD" w:rsidRDefault="00C847CD" w:rsidP="00C847CD">
      <w:pPr>
        <w:jc w:val="both"/>
        <w:rPr>
          <w:rFonts w:ascii="Arial" w:hAnsi="Arial" w:cs="Arial"/>
          <w:sz w:val="22"/>
          <w:szCs w:val="22"/>
        </w:rPr>
      </w:pPr>
    </w:p>
    <w:p w14:paraId="0A9611A4" w14:textId="77777777" w:rsidR="00C847CD" w:rsidRDefault="00C847CD" w:rsidP="00C847CD">
      <w:pPr>
        <w:jc w:val="both"/>
        <w:rPr>
          <w:rFonts w:ascii="Arial" w:hAnsi="Arial" w:cs="Arial"/>
          <w:sz w:val="22"/>
          <w:szCs w:val="22"/>
        </w:rPr>
      </w:pPr>
      <w:r>
        <w:rPr>
          <w:rFonts w:ascii="Arial" w:hAnsi="Arial" w:cs="Arial"/>
          <w:sz w:val="22"/>
          <w:szCs w:val="22"/>
        </w:rPr>
        <w:t xml:space="preserve">In </w:t>
      </w:r>
      <w:r>
        <w:rPr>
          <w:rFonts w:ascii="Arial" w:hAnsi="Arial" w:cs="Arial"/>
          <w:i/>
          <w:sz w:val="22"/>
          <w:szCs w:val="22"/>
        </w:rPr>
        <w:t>FM Capital</w:t>
      </w:r>
      <w:r>
        <w:rPr>
          <w:rFonts w:ascii="Arial" w:hAnsi="Arial" w:cs="Arial"/>
          <w:sz w:val="22"/>
          <w:szCs w:val="22"/>
        </w:rPr>
        <w:t xml:space="preserve">, therefore, the Deputy Judge was faced with an argument that </w:t>
      </w:r>
      <w:proofErr w:type="spellStart"/>
      <w:r>
        <w:rPr>
          <w:rFonts w:ascii="Arial" w:hAnsi="Arial" w:cs="Arial"/>
          <w:i/>
          <w:sz w:val="22"/>
          <w:szCs w:val="22"/>
        </w:rPr>
        <w:t>Lakatamia</w:t>
      </w:r>
      <w:proofErr w:type="spellEnd"/>
      <w:r>
        <w:rPr>
          <w:rFonts w:ascii="Arial" w:hAnsi="Arial" w:cs="Arial"/>
          <w:sz w:val="22"/>
          <w:szCs w:val="22"/>
        </w:rPr>
        <w:t xml:space="preserve"> was overruled and that the “control” thesis of the Supreme Court meant that assets of the NDCs could fall within the extended definition.  This </w:t>
      </w:r>
      <w:r w:rsidR="00901A0C">
        <w:rPr>
          <w:rFonts w:ascii="Arial" w:hAnsi="Arial" w:cs="Arial"/>
          <w:sz w:val="22"/>
          <w:szCs w:val="22"/>
        </w:rPr>
        <w:t>also</w:t>
      </w:r>
      <w:r>
        <w:rPr>
          <w:rFonts w:ascii="Arial" w:hAnsi="Arial" w:cs="Arial"/>
          <w:sz w:val="22"/>
          <w:szCs w:val="22"/>
        </w:rPr>
        <w:t xml:space="preserve"> squarely raised the issue of separate legal personality and whether it would be appropriate for a freezing order to effectively pierce the corporate veil (especially where there was no </w:t>
      </w:r>
      <w:r w:rsidR="00901A0C">
        <w:rPr>
          <w:rFonts w:ascii="Arial" w:hAnsi="Arial" w:cs="Arial"/>
          <w:sz w:val="22"/>
          <w:szCs w:val="22"/>
        </w:rPr>
        <w:t xml:space="preserve">compelling </w:t>
      </w:r>
      <w:r>
        <w:rPr>
          <w:rFonts w:ascii="Arial" w:hAnsi="Arial" w:cs="Arial"/>
          <w:sz w:val="22"/>
          <w:szCs w:val="22"/>
        </w:rPr>
        <w:t xml:space="preserve">evidence the companies were mere foils for Mr Ohmura). </w:t>
      </w:r>
    </w:p>
    <w:p w14:paraId="3A2F678B" w14:textId="77777777" w:rsidR="00C847CD" w:rsidRDefault="00C847CD" w:rsidP="00C847CD">
      <w:pPr>
        <w:jc w:val="both"/>
        <w:rPr>
          <w:rFonts w:ascii="Arial" w:hAnsi="Arial" w:cs="Arial"/>
          <w:sz w:val="22"/>
          <w:szCs w:val="22"/>
        </w:rPr>
      </w:pPr>
    </w:p>
    <w:p w14:paraId="47A4045B" w14:textId="77777777" w:rsidR="00C847CD" w:rsidRDefault="00C847CD" w:rsidP="00C847CD">
      <w:pPr>
        <w:jc w:val="both"/>
        <w:rPr>
          <w:rFonts w:ascii="Arial" w:hAnsi="Arial" w:cs="Arial"/>
          <w:sz w:val="22"/>
          <w:szCs w:val="22"/>
        </w:rPr>
      </w:pPr>
      <w:r>
        <w:rPr>
          <w:rFonts w:ascii="Arial" w:hAnsi="Arial" w:cs="Arial"/>
          <w:sz w:val="22"/>
          <w:szCs w:val="22"/>
        </w:rPr>
        <w:t>The Deputy Judge was able to reconcile the two cases and reach a conclusion that affirmed orthodox company principles:</w:t>
      </w:r>
    </w:p>
    <w:p w14:paraId="7A47EE1F" w14:textId="77777777" w:rsidR="00C847CD" w:rsidRDefault="00C847CD" w:rsidP="00C847CD">
      <w:pPr>
        <w:jc w:val="both"/>
        <w:rPr>
          <w:rFonts w:ascii="Arial" w:hAnsi="Arial" w:cs="Arial"/>
          <w:sz w:val="22"/>
          <w:szCs w:val="22"/>
        </w:rPr>
      </w:pPr>
    </w:p>
    <w:p w14:paraId="34871E03" w14:textId="77777777" w:rsidR="00C847CD" w:rsidRDefault="00C847CD" w:rsidP="00C847CD">
      <w:pPr>
        <w:pStyle w:val="ListParagraph"/>
        <w:numPr>
          <w:ilvl w:val="0"/>
          <w:numId w:val="2"/>
        </w:numPr>
        <w:jc w:val="both"/>
        <w:rPr>
          <w:rFonts w:ascii="Arial" w:hAnsi="Arial" w:cs="Arial"/>
          <w:sz w:val="22"/>
          <w:szCs w:val="22"/>
        </w:rPr>
      </w:pPr>
      <w:r>
        <w:rPr>
          <w:rFonts w:ascii="Arial" w:hAnsi="Arial" w:cs="Arial"/>
          <w:sz w:val="22"/>
          <w:szCs w:val="22"/>
        </w:rPr>
        <w:t xml:space="preserve">The judge held that the </w:t>
      </w:r>
      <w:r>
        <w:rPr>
          <w:rFonts w:ascii="Arial" w:hAnsi="Arial" w:cs="Arial"/>
          <w:i/>
          <w:sz w:val="22"/>
          <w:szCs w:val="22"/>
        </w:rPr>
        <w:t xml:space="preserve">ratio </w:t>
      </w:r>
      <w:r>
        <w:rPr>
          <w:rFonts w:ascii="Arial" w:hAnsi="Arial" w:cs="Arial"/>
          <w:sz w:val="22"/>
          <w:szCs w:val="22"/>
        </w:rPr>
        <w:t xml:space="preserve">of </w:t>
      </w:r>
      <w:proofErr w:type="spellStart"/>
      <w:r>
        <w:rPr>
          <w:rFonts w:ascii="Arial" w:hAnsi="Arial" w:cs="Arial"/>
          <w:i/>
          <w:sz w:val="22"/>
          <w:szCs w:val="22"/>
        </w:rPr>
        <w:t>Lakatamia</w:t>
      </w:r>
      <w:proofErr w:type="spellEnd"/>
      <w:r>
        <w:rPr>
          <w:rFonts w:ascii="Arial" w:hAnsi="Arial" w:cs="Arial"/>
          <w:sz w:val="22"/>
          <w:szCs w:val="22"/>
        </w:rPr>
        <w:t xml:space="preserve"> was, in fact, rather narrow.  All that been required to dispose of the appeal had been the finding that the notice requirements were appropriate to preserve value in the shares of the NDCs.  The Court of Appeal’s comments on Beatson J’s ‘</w:t>
      </w:r>
      <w:r>
        <w:rPr>
          <w:rFonts w:ascii="Arial" w:hAnsi="Arial" w:cs="Arial"/>
          <w:i/>
          <w:sz w:val="22"/>
          <w:szCs w:val="22"/>
        </w:rPr>
        <w:t>heretical</w:t>
      </w:r>
      <w:r>
        <w:rPr>
          <w:rFonts w:ascii="Arial" w:hAnsi="Arial" w:cs="Arial"/>
          <w:sz w:val="22"/>
          <w:szCs w:val="22"/>
        </w:rPr>
        <w:t xml:space="preserve">’ findings and the proper construction of the extended definition were, therefore, effectively </w:t>
      </w:r>
      <w:r>
        <w:rPr>
          <w:rFonts w:ascii="Arial" w:hAnsi="Arial" w:cs="Arial"/>
          <w:i/>
          <w:sz w:val="22"/>
          <w:szCs w:val="22"/>
        </w:rPr>
        <w:t>obiter</w:t>
      </w:r>
      <w:r>
        <w:rPr>
          <w:rFonts w:ascii="Arial" w:hAnsi="Arial" w:cs="Arial"/>
          <w:sz w:val="22"/>
          <w:szCs w:val="22"/>
        </w:rPr>
        <w:t>.</w:t>
      </w:r>
    </w:p>
    <w:p w14:paraId="3E973195" w14:textId="77777777" w:rsidR="00C847CD" w:rsidRPr="00C847CD" w:rsidRDefault="00C847CD" w:rsidP="00C847CD">
      <w:pPr>
        <w:jc w:val="both"/>
        <w:rPr>
          <w:rFonts w:ascii="Arial" w:hAnsi="Arial" w:cs="Arial"/>
          <w:sz w:val="22"/>
          <w:szCs w:val="22"/>
        </w:rPr>
      </w:pPr>
    </w:p>
    <w:p w14:paraId="4955E876" w14:textId="77777777" w:rsidR="00C847CD" w:rsidRDefault="00C847CD" w:rsidP="00C847CD">
      <w:pPr>
        <w:pStyle w:val="ListParagraph"/>
        <w:numPr>
          <w:ilvl w:val="0"/>
          <w:numId w:val="2"/>
        </w:numPr>
        <w:jc w:val="both"/>
        <w:rPr>
          <w:rFonts w:ascii="Arial" w:hAnsi="Arial" w:cs="Arial"/>
          <w:sz w:val="22"/>
          <w:szCs w:val="22"/>
        </w:rPr>
      </w:pPr>
      <w:r>
        <w:rPr>
          <w:rFonts w:ascii="Arial" w:hAnsi="Arial" w:cs="Arial"/>
          <w:sz w:val="22"/>
          <w:szCs w:val="22"/>
        </w:rPr>
        <w:t>There was a clearly an inconsistency between the Supreme Court’s control-based construction of the extended definition and that of the Court of Appeal focussing on ownership.  Clearly the approach of the Supreme Court had to be favoured.</w:t>
      </w:r>
    </w:p>
    <w:p w14:paraId="7FC3CDB5" w14:textId="77777777" w:rsidR="00C847CD" w:rsidRPr="00C847CD" w:rsidRDefault="00C847CD" w:rsidP="00C847CD">
      <w:pPr>
        <w:pStyle w:val="ListParagraph"/>
        <w:rPr>
          <w:rFonts w:ascii="Arial" w:hAnsi="Arial" w:cs="Arial"/>
          <w:sz w:val="22"/>
          <w:szCs w:val="22"/>
        </w:rPr>
      </w:pPr>
    </w:p>
    <w:p w14:paraId="15B7869A" w14:textId="77777777" w:rsidR="00C847CD" w:rsidRDefault="00C847CD" w:rsidP="00C847CD">
      <w:pPr>
        <w:pStyle w:val="ListParagraph"/>
        <w:numPr>
          <w:ilvl w:val="0"/>
          <w:numId w:val="2"/>
        </w:numPr>
        <w:jc w:val="both"/>
        <w:rPr>
          <w:rFonts w:ascii="Arial" w:hAnsi="Arial" w:cs="Arial"/>
          <w:sz w:val="22"/>
          <w:szCs w:val="22"/>
        </w:rPr>
      </w:pPr>
      <w:r>
        <w:rPr>
          <w:rFonts w:ascii="Arial" w:hAnsi="Arial" w:cs="Arial"/>
          <w:sz w:val="22"/>
          <w:szCs w:val="22"/>
        </w:rPr>
        <w:t>That did not, however, in the judge’s view mean the assets of the NDCs fell within the extended definition.  The remainder of the Court of Appeal’s judgment concerning how, as a matter of orthodoxy, a director did not give instructions to a company but rather acted as its servant remained good law.  Acting in such a manner did not qualify as ‘</w:t>
      </w:r>
      <w:r>
        <w:rPr>
          <w:rFonts w:ascii="Arial" w:hAnsi="Arial" w:cs="Arial"/>
          <w:i/>
          <w:sz w:val="22"/>
          <w:szCs w:val="22"/>
        </w:rPr>
        <w:t>control</w:t>
      </w:r>
      <w:r>
        <w:rPr>
          <w:rFonts w:ascii="Arial" w:hAnsi="Arial" w:cs="Arial"/>
          <w:sz w:val="22"/>
          <w:szCs w:val="22"/>
        </w:rPr>
        <w:t xml:space="preserve">’ even under Lord Clarke’s broader reading: the director-shareholder was only an organ of the company. </w:t>
      </w:r>
    </w:p>
    <w:p w14:paraId="3CB38083" w14:textId="77777777" w:rsidR="00C847CD" w:rsidRPr="00C847CD" w:rsidRDefault="00C847CD" w:rsidP="00C847CD">
      <w:pPr>
        <w:pStyle w:val="ListParagraph"/>
        <w:rPr>
          <w:rFonts w:ascii="Arial" w:hAnsi="Arial" w:cs="Arial"/>
          <w:sz w:val="22"/>
          <w:szCs w:val="22"/>
        </w:rPr>
      </w:pPr>
    </w:p>
    <w:p w14:paraId="4D55EEC4" w14:textId="77777777" w:rsidR="00C847CD" w:rsidRDefault="00C847CD" w:rsidP="00C847CD">
      <w:pPr>
        <w:jc w:val="both"/>
        <w:rPr>
          <w:rFonts w:ascii="Arial" w:hAnsi="Arial" w:cs="Arial"/>
          <w:sz w:val="22"/>
          <w:szCs w:val="22"/>
        </w:rPr>
      </w:pPr>
      <w:r>
        <w:rPr>
          <w:rFonts w:ascii="Arial" w:hAnsi="Arial" w:cs="Arial"/>
          <w:sz w:val="22"/>
          <w:szCs w:val="22"/>
        </w:rPr>
        <w:t xml:space="preserve">Following </w:t>
      </w:r>
      <w:proofErr w:type="spellStart"/>
      <w:r>
        <w:rPr>
          <w:rFonts w:ascii="Arial" w:hAnsi="Arial" w:cs="Arial"/>
          <w:i/>
          <w:sz w:val="22"/>
          <w:szCs w:val="22"/>
        </w:rPr>
        <w:t>Lakatamia</w:t>
      </w:r>
      <w:proofErr w:type="spellEnd"/>
      <w:r>
        <w:rPr>
          <w:rFonts w:ascii="Arial" w:hAnsi="Arial" w:cs="Arial"/>
          <w:sz w:val="22"/>
          <w:szCs w:val="22"/>
        </w:rPr>
        <w:t xml:space="preserve">, however, the Deputy Judge held it would be appropriate to impose notice requirements concerning dealings with the NDCs so as to preserve the value in the Respondent’s shares. </w:t>
      </w:r>
    </w:p>
    <w:p w14:paraId="74B5B27C" w14:textId="77777777" w:rsidR="00C847CD" w:rsidRDefault="00C847CD" w:rsidP="00C847CD">
      <w:pPr>
        <w:jc w:val="both"/>
        <w:rPr>
          <w:rFonts w:ascii="Arial" w:hAnsi="Arial" w:cs="Arial"/>
          <w:sz w:val="22"/>
          <w:szCs w:val="22"/>
        </w:rPr>
      </w:pPr>
    </w:p>
    <w:p w14:paraId="798D44B7" w14:textId="77777777" w:rsidR="00C847CD" w:rsidRDefault="00C847CD" w:rsidP="00C847CD">
      <w:pPr>
        <w:jc w:val="both"/>
        <w:rPr>
          <w:rFonts w:ascii="Arial" w:hAnsi="Arial" w:cs="Arial"/>
          <w:sz w:val="22"/>
          <w:szCs w:val="22"/>
        </w:rPr>
      </w:pPr>
      <w:r>
        <w:rPr>
          <w:rFonts w:ascii="Arial" w:hAnsi="Arial" w:cs="Arial"/>
          <w:sz w:val="22"/>
          <w:szCs w:val="22"/>
          <w:u w:val="single"/>
        </w:rPr>
        <w:t>Discussion</w:t>
      </w:r>
    </w:p>
    <w:p w14:paraId="3B92227B" w14:textId="77777777" w:rsidR="00C847CD" w:rsidRDefault="00C847CD" w:rsidP="00C847CD">
      <w:pPr>
        <w:jc w:val="both"/>
        <w:rPr>
          <w:rFonts w:ascii="Arial" w:hAnsi="Arial" w:cs="Arial"/>
          <w:sz w:val="22"/>
          <w:szCs w:val="22"/>
        </w:rPr>
      </w:pPr>
    </w:p>
    <w:p w14:paraId="7041A837" w14:textId="77777777" w:rsidR="00C847CD" w:rsidRPr="00901A0C" w:rsidRDefault="00C847CD" w:rsidP="00901A0C">
      <w:pPr>
        <w:jc w:val="both"/>
        <w:rPr>
          <w:rFonts w:ascii="Arial" w:hAnsi="Arial" w:cs="Arial"/>
          <w:b/>
          <w:bCs/>
          <w:i/>
          <w:sz w:val="22"/>
        </w:rPr>
      </w:pPr>
      <w:r w:rsidRPr="00901A0C">
        <w:rPr>
          <w:rFonts w:ascii="Arial" w:hAnsi="Arial" w:cs="Arial"/>
          <w:sz w:val="22"/>
        </w:rPr>
        <w:t xml:space="preserve">This judgment is to be welcomed as bringing clarity to this area of law, which is particularly important given the ever-changing means respondents adopt to circumvent the effectiveness of freezing orders.  The Deputy Judge subjected the case law to careful analysis and the conclusion he reached is attractive as being consistent with importance attributed to separate legal personality by the Supreme Court in </w:t>
      </w:r>
      <w:proofErr w:type="spellStart"/>
      <w:r w:rsidRPr="00901A0C">
        <w:rPr>
          <w:rFonts w:ascii="Arial" w:hAnsi="Arial" w:cs="Arial"/>
          <w:i/>
          <w:sz w:val="22"/>
        </w:rPr>
        <w:t>Prest</w:t>
      </w:r>
      <w:proofErr w:type="spellEnd"/>
      <w:r w:rsidRPr="00901A0C">
        <w:rPr>
          <w:rFonts w:ascii="Arial" w:hAnsi="Arial" w:cs="Arial"/>
          <w:i/>
          <w:sz w:val="22"/>
        </w:rPr>
        <w:t xml:space="preserve"> </w:t>
      </w:r>
      <w:r w:rsidR="00901A0C" w:rsidRPr="00901A0C">
        <w:rPr>
          <w:rFonts w:ascii="Arial" w:hAnsi="Arial" w:cs="Arial"/>
          <w:i/>
          <w:sz w:val="22"/>
        </w:rPr>
        <w:t xml:space="preserve">v </w:t>
      </w:r>
      <w:proofErr w:type="spellStart"/>
      <w:r w:rsidR="00901A0C" w:rsidRPr="00901A0C">
        <w:rPr>
          <w:rFonts w:ascii="Arial" w:hAnsi="Arial" w:cs="Arial"/>
          <w:i/>
          <w:sz w:val="22"/>
        </w:rPr>
        <w:t>Petrodel</w:t>
      </w:r>
      <w:proofErr w:type="spellEnd"/>
      <w:r w:rsidR="00901A0C" w:rsidRPr="00901A0C">
        <w:rPr>
          <w:rFonts w:ascii="Arial" w:hAnsi="Arial" w:cs="Arial"/>
          <w:i/>
          <w:sz w:val="22"/>
        </w:rPr>
        <w:t xml:space="preserve"> </w:t>
      </w:r>
      <w:r w:rsidR="00901A0C" w:rsidRPr="00901A0C">
        <w:rPr>
          <w:rFonts w:ascii="Arial" w:hAnsi="Arial" w:cs="Arial"/>
          <w:bCs/>
          <w:sz w:val="22"/>
        </w:rPr>
        <w:t>[2013] UKSC 34</w:t>
      </w:r>
      <w:r w:rsidRPr="00901A0C">
        <w:rPr>
          <w:rFonts w:ascii="Arial" w:hAnsi="Arial" w:cs="Arial"/>
          <w:sz w:val="22"/>
        </w:rPr>
        <w:t xml:space="preserve">.  It is also pertinent to recall that Lord Clarke was not addressed on the specific issue of NDCs and their assets in </w:t>
      </w:r>
      <w:r w:rsidR="00901A0C">
        <w:rPr>
          <w:rFonts w:ascii="Arial" w:hAnsi="Arial" w:cs="Arial"/>
          <w:i/>
          <w:sz w:val="22"/>
        </w:rPr>
        <w:t>Ablyazov (No 10)</w:t>
      </w:r>
      <w:r w:rsidRPr="00901A0C">
        <w:rPr>
          <w:rFonts w:ascii="Arial" w:hAnsi="Arial" w:cs="Arial"/>
          <w:sz w:val="22"/>
        </w:rPr>
        <w:t xml:space="preserve">. </w:t>
      </w:r>
    </w:p>
    <w:p w14:paraId="21DF3686" w14:textId="77777777" w:rsidR="00C847CD" w:rsidRDefault="00C847CD" w:rsidP="00C847CD">
      <w:pPr>
        <w:jc w:val="both"/>
        <w:rPr>
          <w:rFonts w:ascii="Arial" w:hAnsi="Arial" w:cs="Arial"/>
          <w:sz w:val="22"/>
          <w:szCs w:val="22"/>
        </w:rPr>
      </w:pPr>
    </w:p>
    <w:p w14:paraId="0B3B85EE" w14:textId="77777777" w:rsidR="009361B2" w:rsidRDefault="00C847CD" w:rsidP="009361B2">
      <w:pPr>
        <w:jc w:val="both"/>
        <w:rPr>
          <w:rFonts w:ascii="Arial" w:hAnsi="Arial" w:cs="Arial"/>
          <w:sz w:val="22"/>
          <w:szCs w:val="22"/>
        </w:rPr>
      </w:pPr>
      <w:r>
        <w:rPr>
          <w:rFonts w:ascii="Arial" w:hAnsi="Arial" w:cs="Arial"/>
          <w:sz w:val="22"/>
          <w:szCs w:val="22"/>
        </w:rPr>
        <w:t xml:space="preserve">Claimants and their advisers should not, however, be overly disheartened by this outcome.  First, it simply restores the understanding of the scope of freezing injunctions as previously understood.  Secondly, the Court of Appeal in </w:t>
      </w:r>
      <w:proofErr w:type="spellStart"/>
      <w:r>
        <w:rPr>
          <w:rFonts w:ascii="Arial" w:hAnsi="Arial" w:cs="Arial"/>
          <w:i/>
          <w:sz w:val="22"/>
          <w:szCs w:val="22"/>
        </w:rPr>
        <w:t>Lakatamia</w:t>
      </w:r>
      <w:proofErr w:type="spellEnd"/>
      <w:r>
        <w:rPr>
          <w:rFonts w:ascii="Arial" w:hAnsi="Arial" w:cs="Arial"/>
          <w:sz w:val="22"/>
          <w:szCs w:val="22"/>
        </w:rPr>
        <w:t xml:space="preserve"> made clear that a freezing order with the extended definition could in ‘</w:t>
      </w:r>
      <w:r>
        <w:rPr>
          <w:rFonts w:ascii="Arial" w:hAnsi="Arial" w:cs="Arial"/>
          <w:i/>
          <w:sz w:val="22"/>
          <w:szCs w:val="22"/>
        </w:rPr>
        <w:t>exceptional circumstances</w:t>
      </w:r>
      <w:r>
        <w:rPr>
          <w:rFonts w:ascii="Arial" w:hAnsi="Arial" w:cs="Arial"/>
          <w:sz w:val="22"/>
          <w:szCs w:val="22"/>
        </w:rPr>
        <w:t>’ cover assets of NDCs, if the NDCs were shown to be non-trading ‘</w:t>
      </w:r>
      <w:r>
        <w:rPr>
          <w:rFonts w:ascii="Arial" w:hAnsi="Arial" w:cs="Arial"/>
          <w:i/>
          <w:sz w:val="22"/>
          <w:szCs w:val="22"/>
        </w:rPr>
        <w:t>pockets or wallets</w:t>
      </w:r>
      <w:r>
        <w:rPr>
          <w:rFonts w:ascii="Arial" w:hAnsi="Arial" w:cs="Arial"/>
          <w:sz w:val="22"/>
          <w:szCs w:val="22"/>
        </w:rPr>
        <w:t xml:space="preserve">’ of a respondent.  Thirdly, the specific issue of NDCs falls within the </w:t>
      </w:r>
      <w:proofErr w:type="spellStart"/>
      <w:r>
        <w:rPr>
          <w:rFonts w:ascii="Arial" w:hAnsi="Arial" w:cs="Arial"/>
          <w:i/>
          <w:sz w:val="22"/>
          <w:szCs w:val="22"/>
        </w:rPr>
        <w:t>Chabra</w:t>
      </w:r>
      <w:proofErr w:type="spellEnd"/>
      <w:r>
        <w:rPr>
          <w:rFonts w:ascii="Arial" w:hAnsi="Arial" w:cs="Arial"/>
          <w:sz w:val="22"/>
          <w:szCs w:val="22"/>
        </w:rPr>
        <w:t xml:space="preserve"> jurisdiction and this perhaps offers a better forum in which to discuss the proper boundaries of such orders. </w:t>
      </w:r>
      <w:r w:rsidR="009361B2">
        <w:rPr>
          <w:rFonts w:ascii="Arial" w:hAnsi="Arial" w:cs="Arial"/>
          <w:sz w:val="22"/>
          <w:szCs w:val="22"/>
        </w:rPr>
        <w:t xml:space="preserve"> </w:t>
      </w:r>
    </w:p>
    <w:p w14:paraId="058DA75F" w14:textId="77777777" w:rsidR="009361B2" w:rsidRDefault="009361B2" w:rsidP="009361B2">
      <w:pPr>
        <w:jc w:val="right"/>
        <w:rPr>
          <w:rFonts w:ascii="Arial" w:hAnsi="Arial" w:cs="Arial"/>
          <w:b/>
        </w:rPr>
      </w:pPr>
    </w:p>
    <w:p w14:paraId="265AABEC" w14:textId="77777777" w:rsidR="00C847CD" w:rsidRPr="009361B2" w:rsidRDefault="00C847CD" w:rsidP="009361B2">
      <w:pPr>
        <w:jc w:val="right"/>
        <w:rPr>
          <w:rFonts w:ascii="Arial" w:hAnsi="Arial" w:cs="Arial"/>
          <w:sz w:val="22"/>
          <w:szCs w:val="22"/>
        </w:rPr>
      </w:pPr>
      <w:r w:rsidRPr="00C847CD">
        <w:rPr>
          <w:rFonts w:ascii="Arial" w:hAnsi="Arial" w:cs="Arial"/>
          <w:b/>
        </w:rPr>
        <w:t>GREGOR HOGAN</w:t>
      </w:r>
    </w:p>
    <w:p w14:paraId="7F82505A" w14:textId="77777777" w:rsidR="00C847CD" w:rsidRPr="00C847CD" w:rsidRDefault="00C847CD" w:rsidP="00C847CD">
      <w:pPr>
        <w:jc w:val="right"/>
        <w:rPr>
          <w:rFonts w:ascii="Arial" w:hAnsi="Arial" w:cs="Arial"/>
          <w:b/>
        </w:rPr>
      </w:pPr>
      <w:proofErr w:type="spellStart"/>
      <w:r w:rsidRPr="00C847CD">
        <w:rPr>
          <w:rFonts w:ascii="Arial" w:hAnsi="Arial" w:cs="Arial"/>
          <w:b/>
        </w:rPr>
        <w:t>Serle</w:t>
      </w:r>
      <w:proofErr w:type="spellEnd"/>
      <w:r w:rsidRPr="00C847CD">
        <w:rPr>
          <w:rFonts w:ascii="Arial" w:hAnsi="Arial" w:cs="Arial"/>
          <w:b/>
        </w:rPr>
        <w:t xml:space="preserve"> Court, Lincoln’s Inn</w:t>
      </w:r>
    </w:p>
    <w:p w14:paraId="455181CF" w14:textId="77777777" w:rsidR="00C847CD" w:rsidRDefault="00C847CD" w:rsidP="00C847CD">
      <w:pPr>
        <w:jc w:val="right"/>
        <w:rPr>
          <w:rFonts w:ascii="Arial" w:hAnsi="Arial" w:cs="Arial"/>
          <w:b/>
        </w:rPr>
      </w:pPr>
      <w:r w:rsidRPr="00C847CD">
        <w:rPr>
          <w:rFonts w:ascii="Arial" w:hAnsi="Arial" w:cs="Arial"/>
          <w:b/>
        </w:rPr>
        <w:t>© November 2018</w:t>
      </w:r>
    </w:p>
    <w:p w14:paraId="62EDB871" w14:textId="77777777" w:rsidR="009361B2" w:rsidRPr="009361B2" w:rsidRDefault="009361B2" w:rsidP="009361B2">
      <w:pPr>
        <w:rPr>
          <w:rFonts w:ascii="Arial" w:hAnsi="Arial" w:cs="Arial"/>
          <w:i/>
          <w:sz w:val="20"/>
        </w:rPr>
      </w:pPr>
    </w:p>
    <w:p w14:paraId="54C9A383" w14:textId="77777777" w:rsidR="009361B2" w:rsidRPr="009361B2" w:rsidRDefault="009361B2" w:rsidP="009361B2">
      <w:pPr>
        <w:rPr>
          <w:rFonts w:ascii="Arial" w:hAnsi="Arial" w:cs="Arial"/>
          <w:i/>
          <w:sz w:val="20"/>
        </w:rPr>
      </w:pPr>
      <w:r w:rsidRPr="009361B2">
        <w:rPr>
          <w:rFonts w:ascii="Arial" w:hAnsi="Arial" w:cs="Arial"/>
          <w:i/>
          <w:sz w:val="20"/>
        </w:rPr>
        <w:t xml:space="preserve">This paper has been prepared for the purposes of the 2018 </w:t>
      </w:r>
      <w:proofErr w:type="spellStart"/>
      <w:r w:rsidRPr="009361B2">
        <w:rPr>
          <w:rFonts w:ascii="Arial" w:hAnsi="Arial" w:cs="Arial"/>
          <w:i/>
          <w:sz w:val="20"/>
        </w:rPr>
        <w:t>Serle</w:t>
      </w:r>
      <w:proofErr w:type="spellEnd"/>
      <w:r w:rsidRPr="009361B2">
        <w:rPr>
          <w:rFonts w:ascii="Arial" w:hAnsi="Arial" w:cs="Arial"/>
          <w:i/>
          <w:sz w:val="20"/>
        </w:rPr>
        <w:t xml:space="preserve"> Court New York Conference and for education and training purposes only.  This paper is not to be used for the purpose of giving professional advice.  The author owes no duty of skill and care to anyone who may seek to rely on this paper.  Please do not reproduce this paper in any form without the prior written consent of the author.</w:t>
      </w:r>
    </w:p>
    <w:sectPr w:rsidR="009361B2" w:rsidRPr="009361B2" w:rsidSect="002874F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1F62" w14:textId="77777777" w:rsidR="009415A3" w:rsidRDefault="009415A3" w:rsidP="00242963">
      <w:r>
        <w:separator/>
      </w:r>
    </w:p>
  </w:endnote>
  <w:endnote w:type="continuationSeparator" w:id="0">
    <w:p w14:paraId="43D152F3" w14:textId="77777777" w:rsidR="009415A3" w:rsidRDefault="009415A3" w:rsidP="0024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19B0D" w14:textId="77777777" w:rsidR="009415A3" w:rsidRDefault="009415A3" w:rsidP="00242963">
      <w:r>
        <w:separator/>
      </w:r>
    </w:p>
  </w:footnote>
  <w:footnote w:type="continuationSeparator" w:id="0">
    <w:p w14:paraId="35AF3A37" w14:textId="77777777" w:rsidR="009415A3" w:rsidRDefault="009415A3" w:rsidP="00242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5ED"/>
    <w:multiLevelType w:val="hybridMultilevel"/>
    <w:tmpl w:val="2618D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62062B"/>
    <w:multiLevelType w:val="hybridMultilevel"/>
    <w:tmpl w:val="A7EC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CD"/>
    <w:rsid w:val="0004685D"/>
    <w:rsid w:val="00242963"/>
    <w:rsid w:val="002874FD"/>
    <w:rsid w:val="00777976"/>
    <w:rsid w:val="008E7A31"/>
    <w:rsid w:val="00901A0C"/>
    <w:rsid w:val="009361B2"/>
    <w:rsid w:val="009415A3"/>
    <w:rsid w:val="00C847CD"/>
    <w:rsid w:val="00D87979"/>
    <w:rsid w:val="00EE5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53CA"/>
  <w14:defaultImageDpi w14:val="32767"/>
  <w15:chartTrackingRefBased/>
  <w15:docId w15:val="{06829489-9D7D-7A48-A539-8D825E5E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47CD"/>
  </w:style>
  <w:style w:type="paragraph" w:styleId="Heading2">
    <w:name w:val="heading 2"/>
    <w:basedOn w:val="Normal"/>
    <w:next w:val="Normal"/>
    <w:link w:val="Heading2Char"/>
    <w:uiPriority w:val="9"/>
    <w:semiHidden/>
    <w:unhideWhenUsed/>
    <w:qFormat/>
    <w:rsid w:val="00901A0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7CD"/>
    <w:pPr>
      <w:ind w:left="720"/>
      <w:contextualSpacing/>
    </w:pPr>
  </w:style>
  <w:style w:type="character" w:customStyle="1" w:styleId="Heading2Char">
    <w:name w:val="Heading 2 Char"/>
    <w:basedOn w:val="DefaultParagraphFont"/>
    <w:link w:val="Heading2"/>
    <w:uiPriority w:val="9"/>
    <w:semiHidden/>
    <w:rsid w:val="00901A0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42963"/>
    <w:pPr>
      <w:tabs>
        <w:tab w:val="center" w:pos="4513"/>
        <w:tab w:val="right" w:pos="9026"/>
      </w:tabs>
    </w:pPr>
  </w:style>
  <w:style w:type="character" w:customStyle="1" w:styleId="HeaderChar">
    <w:name w:val="Header Char"/>
    <w:basedOn w:val="DefaultParagraphFont"/>
    <w:link w:val="Header"/>
    <w:uiPriority w:val="99"/>
    <w:rsid w:val="00242963"/>
  </w:style>
  <w:style w:type="paragraph" w:styleId="Footer">
    <w:name w:val="footer"/>
    <w:basedOn w:val="Normal"/>
    <w:link w:val="FooterChar"/>
    <w:uiPriority w:val="99"/>
    <w:unhideWhenUsed/>
    <w:rsid w:val="00242963"/>
    <w:pPr>
      <w:tabs>
        <w:tab w:val="center" w:pos="4513"/>
        <w:tab w:val="right" w:pos="9026"/>
      </w:tabs>
    </w:pPr>
  </w:style>
  <w:style w:type="character" w:customStyle="1" w:styleId="FooterChar">
    <w:name w:val="Footer Char"/>
    <w:basedOn w:val="DefaultParagraphFont"/>
    <w:link w:val="Footer"/>
    <w:uiPriority w:val="99"/>
    <w:rsid w:val="00242963"/>
  </w:style>
  <w:style w:type="paragraph" w:styleId="NormalWeb">
    <w:name w:val="Normal (Web)"/>
    <w:basedOn w:val="Normal"/>
    <w:uiPriority w:val="99"/>
    <w:semiHidden/>
    <w:unhideWhenUsed/>
    <w:rsid w:val="009361B2"/>
    <w:pPr>
      <w:spacing w:before="100" w:beforeAutospacing="1" w:after="100" w:afterAutospacing="1"/>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493013">
      <w:bodyDiv w:val="1"/>
      <w:marLeft w:val="0"/>
      <w:marRight w:val="0"/>
      <w:marTop w:val="0"/>
      <w:marBottom w:val="0"/>
      <w:divBdr>
        <w:top w:val="none" w:sz="0" w:space="0" w:color="auto"/>
        <w:left w:val="none" w:sz="0" w:space="0" w:color="auto"/>
        <w:bottom w:val="none" w:sz="0" w:space="0" w:color="auto"/>
        <w:right w:val="none" w:sz="0" w:space="0" w:color="auto"/>
      </w:divBdr>
    </w:div>
    <w:div w:id="1127815692">
      <w:bodyDiv w:val="1"/>
      <w:marLeft w:val="0"/>
      <w:marRight w:val="0"/>
      <w:marTop w:val="0"/>
      <w:marBottom w:val="0"/>
      <w:divBdr>
        <w:top w:val="none" w:sz="0" w:space="0" w:color="auto"/>
        <w:left w:val="none" w:sz="0" w:space="0" w:color="auto"/>
        <w:bottom w:val="none" w:sz="0" w:space="0" w:color="auto"/>
        <w:right w:val="none" w:sz="0" w:space="0" w:color="auto"/>
      </w:divBdr>
    </w:div>
    <w:div w:id="1812625251">
      <w:bodyDiv w:val="1"/>
      <w:marLeft w:val="0"/>
      <w:marRight w:val="0"/>
      <w:marTop w:val="0"/>
      <w:marBottom w:val="0"/>
      <w:divBdr>
        <w:top w:val="none" w:sz="0" w:space="0" w:color="auto"/>
        <w:left w:val="none" w:sz="0" w:space="0" w:color="auto"/>
        <w:bottom w:val="none" w:sz="0" w:space="0" w:color="auto"/>
        <w:right w:val="none" w:sz="0" w:space="0" w:color="auto"/>
      </w:divBdr>
    </w:div>
    <w:div w:id="210838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Hogan</dc:creator>
  <cp:keywords/>
  <dc:description/>
  <cp:lastModifiedBy>Gregor Hogan</cp:lastModifiedBy>
  <cp:revision>2</cp:revision>
  <cp:lastPrinted>2018-11-21T15:47:00Z</cp:lastPrinted>
  <dcterms:created xsi:type="dcterms:W3CDTF">2018-11-21T14:25:00Z</dcterms:created>
  <dcterms:modified xsi:type="dcterms:W3CDTF">2018-11-21T16:11:00Z</dcterms:modified>
</cp:coreProperties>
</file>