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7580A" w14:textId="5274200D" w:rsidR="00E61999" w:rsidRDefault="00DD637A" w:rsidP="002D3E5A">
      <w:pPr>
        <w:jc w:val="center"/>
        <w:rPr>
          <w:b/>
          <w:bCs/>
          <w:u w:val="single"/>
        </w:rPr>
      </w:pPr>
      <w:r w:rsidRPr="002D3E5A">
        <w:rPr>
          <w:b/>
          <w:bCs/>
          <w:u w:val="single"/>
        </w:rPr>
        <w:t>LIMITATION: CONCEALMENT, FRAUD AND MISTAKE</w:t>
      </w:r>
    </w:p>
    <w:p w14:paraId="5B333DDA" w14:textId="0AF6A8F2" w:rsidR="002D3E5A" w:rsidRDefault="002D3E5A" w:rsidP="002D3E5A">
      <w:pPr>
        <w:rPr>
          <w:b/>
          <w:bCs/>
          <w:u w:val="single"/>
        </w:rPr>
      </w:pPr>
    </w:p>
    <w:p w14:paraId="50B6F4AD" w14:textId="5AC78F4B" w:rsidR="002D3E5A" w:rsidRDefault="00DD637A" w:rsidP="002D3E5A">
      <w:pPr>
        <w:rPr>
          <w:b/>
          <w:bCs/>
          <w:u w:val="single"/>
        </w:rPr>
      </w:pPr>
      <w:r>
        <w:rPr>
          <w:b/>
          <w:bCs/>
          <w:u w:val="single"/>
        </w:rPr>
        <w:t>STATUTES</w:t>
      </w:r>
    </w:p>
    <w:p w14:paraId="78E77820" w14:textId="3F2EF8AF" w:rsidR="002D3E5A" w:rsidRPr="002D3E5A" w:rsidRDefault="002D3E5A" w:rsidP="00A60519">
      <w:pPr>
        <w:pStyle w:val="ListParagraph"/>
        <w:numPr>
          <w:ilvl w:val="0"/>
          <w:numId w:val="1"/>
        </w:numPr>
        <w:ind w:left="567" w:hanging="567"/>
      </w:pPr>
      <w:r>
        <w:t xml:space="preserve">Limitation Act 1980, </w:t>
      </w:r>
      <w:r w:rsidR="00DB3B88">
        <w:t>S</w:t>
      </w:r>
      <w:r>
        <w:t>ection 32:</w:t>
      </w:r>
    </w:p>
    <w:p w14:paraId="6D9373C3" w14:textId="77777777" w:rsidR="002D3E5A" w:rsidRPr="002D3E5A" w:rsidRDefault="002D3E5A" w:rsidP="00A60519">
      <w:pPr>
        <w:ind w:left="851" w:firstLine="0"/>
      </w:pPr>
      <w:r w:rsidRPr="002D3E5A">
        <w:t xml:space="preserve">“32 Postponement of limitation period in case of fraud, concealment or mistake. </w:t>
      </w:r>
    </w:p>
    <w:p w14:paraId="4CCD0177" w14:textId="2C1C5BA1" w:rsidR="002D3E5A" w:rsidRPr="002D3E5A" w:rsidRDefault="002D3E5A" w:rsidP="00A60519">
      <w:pPr>
        <w:ind w:left="851" w:firstLine="0"/>
      </w:pPr>
      <w:r w:rsidRPr="002D3E5A">
        <w:t>(1)</w:t>
      </w:r>
      <w:r>
        <w:t xml:space="preserve"> </w:t>
      </w:r>
      <w:r>
        <w:tab/>
      </w:r>
      <w:r w:rsidRPr="002D3E5A">
        <w:t xml:space="preserve">… where in the case of any action for which a period of limitation is prescribed by this Act, either— </w:t>
      </w:r>
    </w:p>
    <w:p w14:paraId="6FBE155C" w14:textId="3DBBE5E7" w:rsidR="002D3E5A" w:rsidRPr="002D3E5A" w:rsidRDefault="002D3E5A" w:rsidP="00A60519">
      <w:pPr>
        <w:ind w:left="1985" w:hanging="567"/>
      </w:pPr>
      <w:r w:rsidRPr="002D3E5A">
        <w:t xml:space="preserve">(a) </w:t>
      </w:r>
      <w:r w:rsidR="00A60519">
        <w:tab/>
      </w:r>
      <w:r w:rsidRPr="002D3E5A">
        <w:t xml:space="preserve">the action is based upon the fraud of the defendant; or </w:t>
      </w:r>
    </w:p>
    <w:p w14:paraId="6A46502C" w14:textId="6C6FA4C9" w:rsidR="002D3E5A" w:rsidRPr="002D3E5A" w:rsidRDefault="002D3E5A" w:rsidP="00A60519">
      <w:pPr>
        <w:ind w:left="1985" w:hanging="567"/>
      </w:pPr>
      <w:r w:rsidRPr="002D3E5A">
        <w:t xml:space="preserve">(b) </w:t>
      </w:r>
      <w:r w:rsidR="00A60519">
        <w:tab/>
      </w:r>
      <w:r w:rsidRPr="002D3E5A">
        <w:t xml:space="preserve">any fact relevant to the plaintiff’s right of action has been deliberately concealed from him by the defendant; or </w:t>
      </w:r>
    </w:p>
    <w:p w14:paraId="267E9B9A" w14:textId="12119301" w:rsidR="002D3E5A" w:rsidRPr="002D3E5A" w:rsidRDefault="002D3E5A" w:rsidP="00A60519">
      <w:pPr>
        <w:ind w:left="1985" w:hanging="567"/>
      </w:pPr>
      <w:r w:rsidRPr="002D3E5A">
        <w:t xml:space="preserve">(c) </w:t>
      </w:r>
      <w:r w:rsidR="00A60519">
        <w:tab/>
      </w:r>
      <w:r w:rsidRPr="002D3E5A">
        <w:t xml:space="preserve">the action is for relief from the consequences of a </w:t>
      </w:r>
      <w:proofErr w:type="gramStart"/>
      <w:r w:rsidRPr="002D3E5A">
        <w:t>mistake;</w:t>
      </w:r>
      <w:proofErr w:type="gramEnd"/>
      <w:r w:rsidRPr="002D3E5A">
        <w:t xml:space="preserve"> </w:t>
      </w:r>
    </w:p>
    <w:p w14:paraId="622420D6" w14:textId="77777777" w:rsidR="002D3E5A" w:rsidRPr="002D3E5A" w:rsidRDefault="002D3E5A" w:rsidP="00A60519">
      <w:pPr>
        <w:ind w:left="851" w:firstLine="0"/>
      </w:pPr>
      <w:r w:rsidRPr="002D3E5A">
        <w:t xml:space="preserve">the period of limitation shall not begin to run until the plaintiff has discovered the fraud, concealment or mistake (as the case may be) or could with reasonable diligence have discovered it. References in this subsection to the defendant include references to the defendant’s agent and to any person through whom the defendant claims and his agent. </w:t>
      </w:r>
    </w:p>
    <w:p w14:paraId="122B7D59" w14:textId="37A570AF" w:rsidR="002D3E5A" w:rsidRDefault="002D3E5A" w:rsidP="00A60519">
      <w:pPr>
        <w:ind w:left="851" w:firstLine="0"/>
      </w:pPr>
      <w:r w:rsidRPr="002D3E5A">
        <w:t xml:space="preserve">(2) </w:t>
      </w:r>
      <w:r>
        <w:tab/>
      </w:r>
      <w:r w:rsidRPr="002D3E5A">
        <w:t>For the purposes of subsection (1) above, deliberate commission of a breach of duty in circumstances in which it is unlikely to be discovered for some time amounts to deliberate concealment of the facts involved in that breach of duty</w:t>
      </w:r>
      <w:r w:rsidR="00E752D8">
        <w:t>…</w:t>
      </w:r>
      <w:proofErr w:type="gramStart"/>
      <w:r w:rsidR="00E752D8">
        <w:t>”</w:t>
      </w:r>
      <w:r w:rsidR="00534AB7">
        <w:t>;</w:t>
      </w:r>
      <w:proofErr w:type="gramEnd"/>
    </w:p>
    <w:p w14:paraId="36D78C55" w14:textId="55C47E84" w:rsidR="00E752D8" w:rsidRDefault="00DB3B88" w:rsidP="00E752D8">
      <w:pPr>
        <w:pStyle w:val="ListParagraph"/>
        <w:numPr>
          <w:ilvl w:val="0"/>
          <w:numId w:val="1"/>
        </w:numPr>
        <w:spacing w:line="360" w:lineRule="auto"/>
      </w:pPr>
      <w:r>
        <w:t xml:space="preserve">Limitation Act 1980, Section 36: </w:t>
      </w:r>
    </w:p>
    <w:p w14:paraId="1C099C81" w14:textId="3FE0C4F1" w:rsidR="00E752D8" w:rsidRPr="00E752D8" w:rsidRDefault="00E752D8" w:rsidP="00E752D8">
      <w:pPr>
        <w:ind w:left="851" w:firstLine="0"/>
      </w:pPr>
      <w:r w:rsidRPr="00E752D8">
        <w:rPr>
          <w:lang w:val="en-US"/>
        </w:rPr>
        <w:t>“36 Equitable jurisdiction and remedies.</w:t>
      </w:r>
    </w:p>
    <w:p w14:paraId="37C5BFCE" w14:textId="6137721B" w:rsidR="00E752D8" w:rsidRPr="00E752D8" w:rsidRDefault="00E752D8" w:rsidP="00E752D8">
      <w:pPr>
        <w:ind w:left="1418" w:hanging="567"/>
      </w:pPr>
      <w:r w:rsidRPr="00E752D8">
        <w:rPr>
          <w:lang w:val="en-US"/>
        </w:rPr>
        <w:t>(1)</w:t>
      </w:r>
      <w:r>
        <w:rPr>
          <w:lang w:val="en-US"/>
        </w:rPr>
        <w:tab/>
      </w:r>
      <w:r w:rsidRPr="00E752D8">
        <w:rPr>
          <w:lang w:val="en-US"/>
        </w:rPr>
        <w:t>The following time limits under this Act, that is to say—</w:t>
      </w:r>
    </w:p>
    <w:p w14:paraId="385C0B7E" w14:textId="59E7B086" w:rsidR="00E752D8" w:rsidRPr="00E752D8" w:rsidRDefault="00E752D8" w:rsidP="00E752D8">
      <w:pPr>
        <w:ind w:left="1985" w:hanging="567"/>
      </w:pPr>
      <w:r w:rsidRPr="00E752D8">
        <w:rPr>
          <w:lang w:val="en-US"/>
        </w:rPr>
        <w:t>(a)</w:t>
      </w:r>
      <w:r>
        <w:rPr>
          <w:lang w:val="en-US"/>
        </w:rPr>
        <w:tab/>
      </w:r>
      <w:r w:rsidRPr="00E752D8">
        <w:rPr>
          <w:lang w:val="en-US"/>
        </w:rPr>
        <w:t xml:space="preserve">the time limit under section 2 for actions </w:t>
      </w:r>
      <w:proofErr w:type="gramStart"/>
      <w:r w:rsidRPr="00E752D8">
        <w:rPr>
          <w:lang w:val="en-US"/>
        </w:rPr>
        <w:t>founded</w:t>
      </w:r>
      <w:proofErr w:type="gramEnd"/>
      <w:r w:rsidRPr="00E752D8">
        <w:rPr>
          <w:lang w:val="en-US"/>
        </w:rPr>
        <w:t xml:space="preserve"> on </w:t>
      </w:r>
      <w:proofErr w:type="gramStart"/>
      <w:r w:rsidRPr="00E752D8">
        <w:rPr>
          <w:lang w:val="en-US"/>
        </w:rPr>
        <w:t>tort;</w:t>
      </w:r>
      <w:proofErr w:type="gramEnd"/>
    </w:p>
    <w:p w14:paraId="3E31A974" w14:textId="286BE005" w:rsidR="00E752D8" w:rsidRPr="00E752D8" w:rsidRDefault="00E752D8" w:rsidP="00E752D8">
      <w:pPr>
        <w:ind w:left="1985" w:hanging="567"/>
      </w:pPr>
      <w:r w:rsidRPr="00E752D8">
        <w:rPr>
          <w:lang w:val="en-US"/>
        </w:rPr>
        <w:t>(b)</w:t>
      </w:r>
      <w:r>
        <w:rPr>
          <w:lang w:val="en-US"/>
        </w:rPr>
        <w:tab/>
      </w:r>
      <w:r w:rsidRPr="00E752D8">
        <w:rPr>
          <w:lang w:val="en-US"/>
        </w:rPr>
        <w:t xml:space="preserve">the time limit under section 5 for actions </w:t>
      </w:r>
      <w:proofErr w:type="gramStart"/>
      <w:r w:rsidRPr="00E752D8">
        <w:rPr>
          <w:lang w:val="en-US"/>
        </w:rPr>
        <w:t>founded</w:t>
      </w:r>
      <w:proofErr w:type="gramEnd"/>
      <w:r w:rsidRPr="00E752D8">
        <w:rPr>
          <w:lang w:val="en-US"/>
        </w:rPr>
        <w:t xml:space="preserve"> on simple </w:t>
      </w:r>
      <w:proofErr w:type="gramStart"/>
      <w:r w:rsidRPr="00E752D8">
        <w:rPr>
          <w:lang w:val="en-US"/>
        </w:rPr>
        <w:t>contract;</w:t>
      </w:r>
      <w:proofErr w:type="gramEnd"/>
    </w:p>
    <w:p w14:paraId="123EA853" w14:textId="77777777" w:rsidR="00E752D8" w:rsidRPr="00E752D8" w:rsidRDefault="00E752D8" w:rsidP="00E752D8">
      <w:pPr>
        <w:ind w:left="851" w:firstLine="567"/>
      </w:pPr>
      <w:r w:rsidRPr="00E752D8">
        <w:rPr>
          <w:lang w:val="en-US"/>
        </w:rPr>
        <w:t>… …</w:t>
      </w:r>
    </w:p>
    <w:p w14:paraId="08CC422F" w14:textId="14FFE29D" w:rsidR="00E752D8" w:rsidRPr="00E752D8" w:rsidRDefault="00E752D8" w:rsidP="00E752D8">
      <w:pPr>
        <w:ind w:left="851" w:firstLine="0"/>
      </w:pPr>
      <w:r w:rsidRPr="00E752D8">
        <w:rPr>
          <w:lang w:val="en-US"/>
        </w:rPr>
        <w:t>shall not apply to any claim for specific performance of a contract or for an injunction or for other equitable relief, except in so far as any such time limit may be applied by the court by analogy in like manner as the corresponding time limit under any enactment repealed by the Limitation Act 1939 was applied before 1st July 1940</w:t>
      </w:r>
      <w:r w:rsidR="007970CB">
        <w:rPr>
          <w:lang w:val="en-US"/>
        </w:rPr>
        <w:t>…</w:t>
      </w:r>
      <w:proofErr w:type="gramStart"/>
      <w:r w:rsidR="007970CB">
        <w:rPr>
          <w:lang w:val="en-US"/>
        </w:rPr>
        <w:t>”</w:t>
      </w:r>
      <w:r w:rsidR="00534AB7">
        <w:rPr>
          <w:lang w:val="en-US"/>
        </w:rPr>
        <w:t>;</w:t>
      </w:r>
      <w:proofErr w:type="gramEnd"/>
    </w:p>
    <w:p w14:paraId="62B30CA6" w14:textId="77777777" w:rsidR="00E752D8" w:rsidRDefault="00E752D8" w:rsidP="008C6108">
      <w:pPr>
        <w:spacing w:line="360" w:lineRule="auto"/>
      </w:pPr>
    </w:p>
    <w:p w14:paraId="7428B813" w14:textId="013BB3E2" w:rsidR="002D3E5A" w:rsidRDefault="002D3E5A" w:rsidP="00A60519">
      <w:pPr>
        <w:pStyle w:val="ListParagraph"/>
        <w:numPr>
          <w:ilvl w:val="0"/>
          <w:numId w:val="1"/>
        </w:numPr>
        <w:spacing w:line="360" w:lineRule="auto"/>
      </w:pPr>
      <w:r>
        <w:t>Cayman Limitation Law, Section</w:t>
      </w:r>
      <w:r w:rsidR="00710673">
        <w:t>s</w:t>
      </w:r>
      <w:r>
        <w:t xml:space="preserve"> 37</w:t>
      </w:r>
      <w:r w:rsidR="00710673">
        <w:t xml:space="preserve"> &amp; </w:t>
      </w:r>
      <w:proofErr w:type="gramStart"/>
      <w:r w:rsidR="00710673">
        <w:t>42</w:t>
      </w:r>
      <w:r>
        <w:t>;</w:t>
      </w:r>
      <w:proofErr w:type="gramEnd"/>
    </w:p>
    <w:p w14:paraId="2450DC0B" w14:textId="76911B80" w:rsidR="002D3E5A" w:rsidRDefault="002D3E5A" w:rsidP="00A60519">
      <w:pPr>
        <w:pStyle w:val="ListParagraph"/>
        <w:numPr>
          <w:ilvl w:val="0"/>
          <w:numId w:val="1"/>
        </w:numPr>
        <w:spacing w:line="360" w:lineRule="auto"/>
      </w:pPr>
      <w:r>
        <w:t>Bermuda Limitation Act, Section 33</w:t>
      </w:r>
      <w:r w:rsidR="005C2CC0">
        <w:t xml:space="preserve"> &amp; </w:t>
      </w:r>
      <w:proofErr w:type="gramStart"/>
      <w:r w:rsidR="005C2CC0">
        <w:t>37</w:t>
      </w:r>
      <w:r>
        <w:t>;</w:t>
      </w:r>
      <w:proofErr w:type="gramEnd"/>
    </w:p>
    <w:p w14:paraId="1EB61868" w14:textId="75E52102" w:rsidR="002D3E5A" w:rsidRDefault="002D3E5A" w:rsidP="00A60519">
      <w:pPr>
        <w:pStyle w:val="ListParagraph"/>
        <w:numPr>
          <w:ilvl w:val="0"/>
          <w:numId w:val="1"/>
        </w:numPr>
        <w:spacing w:line="360" w:lineRule="auto"/>
      </w:pPr>
      <w:r>
        <w:t>Bahamas Limitation Act, Section 41</w:t>
      </w:r>
      <w:r w:rsidR="005C2CC0">
        <w:t xml:space="preserve"> &amp; </w:t>
      </w:r>
      <w:proofErr w:type="gramStart"/>
      <w:r w:rsidR="006A6B58">
        <w:t>5(4)</w:t>
      </w:r>
      <w:r>
        <w:t>;</w:t>
      </w:r>
      <w:proofErr w:type="gramEnd"/>
    </w:p>
    <w:p w14:paraId="03FEC15F" w14:textId="5A43EA2C" w:rsidR="002D3E5A" w:rsidRDefault="002D3E5A" w:rsidP="00A60519">
      <w:pPr>
        <w:pStyle w:val="ListParagraph"/>
        <w:numPr>
          <w:ilvl w:val="0"/>
          <w:numId w:val="1"/>
        </w:numPr>
        <w:spacing w:line="360" w:lineRule="auto"/>
      </w:pPr>
      <w:r>
        <w:t>BVI Limitation Ordinance, Section</w:t>
      </w:r>
      <w:r w:rsidR="00A27B9D">
        <w:t>s</w:t>
      </w:r>
      <w:r>
        <w:t xml:space="preserve"> 25</w:t>
      </w:r>
      <w:r w:rsidR="00A27B9D">
        <w:t xml:space="preserve"> and 4(7)</w:t>
      </w:r>
      <w:r w:rsidR="008131CE">
        <w:t>.</w:t>
      </w:r>
    </w:p>
    <w:p w14:paraId="2E8A4E35" w14:textId="77777777" w:rsidR="00D047FD" w:rsidRDefault="00D047FD" w:rsidP="00A60519">
      <w:pPr>
        <w:spacing w:line="360" w:lineRule="auto"/>
        <w:rPr>
          <w:b/>
          <w:bCs/>
          <w:u w:val="single"/>
        </w:rPr>
      </w:pPr>
    </w:p>
    <w:p w14:paraId="0D222781" w14:textId="070A3B1C" w:rsidR="00A60519" w:rsidRPr="00A60519" w:rsidRDefault="00DD637A" w:rsidP="00A60519">
      <w:pPr>
        <w:spacing w:line="360" w:lineRule="auto"/>
        <w:rPr>
          <w:b/>
          <w:bCs/>
          <w:u w:val="single"/>
        </w:rPr>
      </w:pPr>
      <w:r>
        <w:rPr>
          <w:b/>
          <w:bCs/>
          <w:u w:val="single"/>
        </w:rPr>
        <w:t>CASES</w:t>
      </w:r>
    </w:p>
    <w:p w14:paraId="61361CCA" w14:textId="0C2DA156" w:rsidR="00A60519" w:rsidRPr="00A60519" w:rsidRDefault="00A60519" w:rsidP="00A60519">
      <w:pPr>
        <w:spacing w:line="360" w:lineRule="auto"/>
        <w:rPr>
          <w:b/>
          <w:bCs/>
          <w:i/>
          <w:iCs/>
          <w:u w:val="single"/>
        </w:rPr>
      </w:pPr>
      <w:r w:rsidRPr="00A60519">
        <w:rPr>
          <w:b/>
          <w:bCs/>
          <w:i/>
          <w:iCs/>
          <w:u w:val="single"/>
        </w:rPr>
        <w:lastRenderedPageBreak/>
        <w:t>Deliberate Concealment</w:t>
      </w:r>
    </w:p>
    <w:p w14:paraId="5A256DBB" w14:textId="68D07EFF" w:rsidR="00A60519" w:rsidRPr="00A60519" w:rsidRDefault="00A60519" w:rsidP="00A60519">
      <w:pPr>
        <w:pStyle w:val="ListParagraph"/>
        <w:spacing w:line="360" w:lineRule="auto"/>
        <w:ind w:firstLine="0"/>
        <w:rPr>
          <w:u w:val="single"/>
        </w:rPr>
      </w:pPr>
      <w:r w:rsidRPr="00A60519">
        <w:rPr>
          <w:i/>
          <w:iCs/>
          <w:u w:val="single"/>
        </w:rPr>
        <w:t>Effect of Deliberate Concealment</w:t>
      </w:r>
    </w:p>
    <w:p w14:paraId="3EFC0B55" w14:textId="2AD3759F" w:rsidR="00A60519" w:rsidRDefault="00A60519" w:rsidP="001837AB">
      <w:pPr>
        <w:pStyle w:val="ListParagraph"/>
        <w:numPr>
          <w:ilvl w:val="0"/>
          <w:numId w:val="2"/>
        </w:numPr>
        <w:spacing w:line="360" w:lineRule="auto"/>
        <w:ind w:left="567" w:hanging="567"/>
      </w:pPr>
      <w:r w:rsidRPr="00A60519">
        <w:rPr>
          <w:i/>
          <w:iCs/>
        </w:rPr>
        <w:t>Sheldon v RHM Outhwaite (Underwriting Agencies) Ltd</w:t>
      </w:r>
      <w:r>
        <w:t xml:space="preserve"> [1995] 2 All ER </w:t>
      </w:r>
      <w:proofErr w:type="gramStart"/>
      <w:r>
        <w:t>558</w:t>
      </w:r>
      <w:r w:rsidR="00534AB7">
        <w:t>;</w:t>
      </w:r>
      <w:proofErr w:type="gramEnd"/>
    </w:p>
    <w:p w14:paraId="728C10AB" w14:textId="0D542730" w:rsidR="00A60519" w:rsidRDefault="00A60519" w:rsidP="001837AB">
      <w:pPr>
        <w:pStyle w:val="ListParagraph"/>
        <w:numPr>
          <w:ilvl w:val="0"/>
          <w:numId w:val="2"/>
        </w:numPr>
        <w:spacing w:line="360" w:lineRule="auto"/>
        <w:ind w:left="567" w:hanging="567"/>
      </w:pPr>
      <w:r>
        <w:rPr>
          <w:i/>
          <w:iCs/>
        </w:rPr>
        <w:t xml:space="preserve">Al-Hasani v </w:t>
      </w:r>
      <w:proofErr w:type="spellStart"/>
      <w:r>
        <w:rPr>
          <w:i/>
          <w:iCs/>
        </w:rPr>
        <w:t>Nettler</w:t>
      </w:r>
      <w:proofErr w:type="spellEnd"/>
      <w:r>
        <w:t xml:space="preserve"> [2019] EWHC 640 (Ch</w:t>
      </w:r>
      <w:proofErr w:type="gramStart"/>
      <w:r>
        <w:t>)</w:t>
      </w:r>
      <w:r w:rsidR="00534AB7">
        <w:t>;</w:t>
      </w:r>
      <w:proofErr w:type="gramEnd"/>
    </w:p>
    <w:p w14:paraId="3EDD6CE9" w14:textId="31EED3FA" w:rsidR="00A60519" w:rsidRPr="00D047FD" w:rsidRDefault="00A60519" w:rsidP="00D047FD">
      <w:pPr>
        <w:pStyle w:val="ListParagraph"/>
        <w:numPr>
          <w:ilvl w:val="0"/>
          <w:numId w:val="2"/>
        </w:numPr>
        <w:spacing w:line="360" w:lineRule="auto"/>
        <w:ind w:left="567" w:hanging="567"/>
      </w:pPr>
      <w:r w:rsidRPr="00A60519">
        <w:rPr>
          <w:i/>
          <w:iCs/>
        </w:rPr>
        <w:t>RG Securities (No.2) Ltd v Allianz Global Corporate and Speciality</w:t>
      </w:r>
      <w:r>
        <w:t xml:space="preserve"> [2020] EWHC 1646 (TCC</w:t>
      </w:r>
      <w:proofErr w:type="gramStart"/>
      <w:r>
        <w:t>)</w:t>
      </w:r>
      <w:r w:rsidR="00534AB7">
        <w:t>;</w:t>
      </w:r>
      <w:proofErr w:type="gramEnd"/>
    </w:p>
    <w:p w14:paraId="7C359A8F" w14:textId="5773A39B" w:rsidR="00A60519" w:rsidRPr="00A60519" w:rsidRDefault="00A60519" w:rsidP="00A60519">
      <w:pPr>
        <w:pStyle w:val="ListParagraph"/>
        <w:spacing w:line="360" w:lineRule="auto"/>
        <w:ind w:firstLine="0"/>
        <w:rPr>
          <w:u w:val="single"/>
        </w:rPr>
      </w:pPr>
      <w:r w:rsidRPr="00A60519">
        <w:rPr>
          <w:i/>
          <w:iCs/>
          <w:u w:val="single"/>
        </w:rPr>
        <w:t>Meaning of Deliberate Concealment</w:t>
      </w:r>
    </w:p>
    <w:p w14:paraId="38F9CD76" w14:textId="272F3C34" w:rsidR="00A60519" w:rsidRDefault="00A60519" w:rsidP="001837AB">
      <w:pPr>
        <w:pStyle w:val="ListParagraph"/>
        <w:numPr>
          <w:ilvl w:val="0"/>
          <w:numId w:val="2"/>
        </w:numPr>
        <w:spacing w:line="360" w:lineRule="auto"/>
        <w:ind w:left="567" w:hanging="567"/>
      </w:pPr>
      <w:r w:rsidRPr="00A60519">
        <w:rPr>
          <w:i/>
          <w:iCs/>
        </w:rPr>
        <w:t>Canada</w:t>
      </w:r>
      <w:r w:rsidRPr="00A60519">
        <w:t xml:space="preserve"> </w:t>
      </w:r>
      <w:r w:rsidRPr="00A60519">
        <w:rPr>
          <w:i/>
          <w:iCs/>
        </w:rPr>
        <w:t>Square Operations Ltd v Potter</w:t>
      </w:r>
      <w:r w:rsidRPr="00A60519">
        <w:t xml:space="preserve"> [2024] AC </w:t>
      </w:r>
      <w:proofErr w:type="gramStart"/>
      <w:r w:rsidRPr="00A60519">
        <w:t>679;</w:t>
      </w:r>
      <w:proofErr w:type="gramEnd"/>
      <w:r w:rsidRPr="00A60519">
        <w:t xml:space="preserve"> </w:t>
      </w:r>
    </w:p>
    <w:p w14:paraId="63881FA1" w14:textId="44332B40" w:rsidR="00A60519" w:rsidRPr="00A60519" w:rsidRDefault="00A60519" w:rsidP="001837AB">
      <w:pPr>
        <w:pStyle w:val="ListParagraph"/>
        <w:numPr>
          <w:ilvl w:val="0"/>
          <w:numId w:val="2"/>
        </w:numPr>
        <w:spacing w:line="360" w:lineRule="auto"/>
        <w:ind w:left="567" w:hanging="567"/>
      </w:pPr>
      <w:proofErr w:type="spellStart"/>
      <w:r w:rsidRPr="00A60519">
        <w:rPr>
          <w:i/>
          <w:iCs/>
        </w:rPr>
        <w:t>Primeo</w:t>
      </w:r>
      <w:proofErr w:type="spellEnd"/>
      <w:r w:rsidRPr="00A60519">
        <w:rPr>
          <w:i/>
          <w:iCs/>
        </w:rPr>
        <w:t xml:space="preserve"> v Bank of Bermuda</w:t>
      </w:r>
      <w:r w:rsidRPr="00A60519">
        <w:t xml:space="preserve"> [2024] AC </w:t>
      </w:r>
      <w:proofErr w:type="gramStart"/>
      <w:r w:rsidRPr="00A60519">
        <w:t>727</w:t>
      </w:r>
      <w:r w:rsidR="00534AB7">
        <w:t>;</w:t>
      </w:r>
      <w:proofErr w:type="gramEnd"/>
    </w:p>
    <w:p w14:paraId="4D588E0F" w14:textId="0DC44E64" w:rsidR="00202D97" w:rsidRPr="00D047FD" w:rsidRDefault="001837AB" w:rsidP="00D047FD">
      <w:pPr>
        <w:pStyle w:val="ListParagraph"/>
        <w:numPr>
          <w:ilvl w:val="0"/>
          <w:numId w:val="2"/>
        </w:numPr>
        <w:spacing w:line="360" w:lineRule="auto"/>
        <w:ind w:left="567" w:hanging="567"/>
      </w:pPr>
      <w:r>
        <w:rPr>
          <w:i/>
          <w:iCs/>
        </w:rPr>
        <w:t xml:space="preserve">IBM United Kingdom Ltd v </w:t>
      </w:r>
      <w:proofErr w:type="spellStart"/>
      <w:r>
        <w:rPr>
          <w:i/>
          <w:iCs/>
        </w:rPr>
        <w:t>LzLabs</w:t>
      </w:r>
      <w:proofErr w:type="spellEnd"/>
      <w:r>
        <w:rPr>
          <w:i/>
          <w:iCs/>
        </w:rPr>
        <w:t xml:space="preserve"> GmbH</w:t>
      </w:r>
      <w:r>
        <w:t xml:space="preserve"> [2025] EWHC 532 (TCC</w:t>
      </w:r>
      <w:proofErr w:type="gramStart"/>
      <w:r>
        <w:t>)</w:t>
      </w:r>
      <w:r w:rsidR="00534AB7">
        <w:t>;</w:t>
      </w:r>
      <w:proofErr w:type="gramEnd"/>
    </w:p>
    <w:p w14:paraId="3E14341C" w14:textId="4099B3D2" w:rsidR="00202D97" w:rsidRPr="008713DC" w:rsidRDefault="00202D97" w:rsidP="008713DC">
      <w:pPr>
        <w:pStyle w:val="ListParagraph"/>
        <w:spacing w:line="360" w:lineRule="auto"/>
        <w:ind w:left="567" w:firstLine="0"/>
        <w:rPr>
          <w:u w:val="single"/>
        </w:rPr>
      </w:pPr>
      <w:r w:rsidRPr="008713DC">
        <w:rPr>
          <w:i/>
          <w:iCs/>
          <w:u w:val="single"/>
        </w:rPr>
        <w:t>BVI / Australia</w:t>
      </w:r>
    </w:p>
    <w:p w14:paraId="4CD364A5" w14:textId="6BB180D6" w:rsidR="008713DC" w:rsidRPr="008713DC" w:rsidRDefault="00A40A61" w:rsidP="008713DC">
      <w:pPr>
        <w:pStyle w:val="ListParagraph"/>
        <w:numPr>
          <w:ilvl w:val="0"/>
          <w:numId w:val="2"/>
        </w:numPr>
        <w:spacing w:line="360" w:lineRule="auto"/>
        <w:ind w:left="567" w:hanging="567"/>
      </w:pPr>
      <w:r w:rsidRPr="008713DC">
        <w:rPr>
          <w:i/>
          <w:iCs/>
        </w:rPr>
        <w:t xml:space="preserve">Hellard v </w:t>
      </w:r>
      <w:r w:rsidR="00323154" w:rsidRPr="008713DC">
        <w:rPr>
          <w:i/>
          <w:iCs/>
        </w:rPr>
        <w:t xml:space="preserve">Maluf </w:t>
      </w:r>
      <w:r w:rsidR="00080D5E" w:rsidRPr="008713DC">
        <w:t>BVIHC (COM) 2017/0134</w:t>
      </w:r>
      <w:r w:rsidR="00574ACF" w:rsidRPr="008713DC">
        <w:t xml:space="preserve"> (23 August 2021</w:t>
      </w:r>
      <w:proofErr w:type="gramStart"/>
      <w:r w:rsidR="00574ACF" w:rsidRPr="008713DC">
        <w:t>)</w:t>
      </w:r>
      <w:r w:rsidR="00534AB7">
        <w:t>;</w:t>
      </w:r>
      <w:proofErr w:type="gramEnd"/>
    </w:p>
    <w:p w14:paraId="1E7690AB" w14:textId="5DA05A35" w:rsidR="008713DC" w:rsidRPr="008713DC" w:rsidRDefault="008713DC" w:rsidP="008713DC">
      <w:pPr>
        <w:pStyle w:val="ListParagraph"/>
        <w:numPr>
          <w:ilvl w:val="0"/>
          <w:numId w:val="2"/>
        </w:numPr>
        <w:spacing w:line="360" w:lineRule="auto"/>
        <w:ind w:left="567" w:hanging="567"/>
      </w:pPr>
      <w:r w:rsidRPr="008713DC">
        <w:rPr>
          <w:i/>
          <w:iCs/>
        </w:rPr>
        <w:t>Hamilton v Kaljo</w:t>
      </w:r>
      <w:r w:rsidRPr="008713DC">
        <w:t xml:space="preserve"> (1989) 17 NSWLR </w:t>
      </w:r>
      <w:proofErr w:type="gramStart"/>
      <w:r w:rsidRPr="008713DC">
        <w:t>381</w:t>
      </w:r>
      <w:r w:rsidR="00534AB7">
        <w:t>;</w:t>
      </w:r>
      <w:proofErr w:type="gramEnd"/>
    </w:p>
    <w:p w14:paraId="2E0737A9" w14:textId="30A5A464" w:rsidR="00574ACF" w:rsidRDefault="00133633" w:rsidP="008713DC">
      <w:pPr>
        <w:pStyle w:val="ListParagraph"/>
        <w:numPr>
          <w:ilvl w:val="0"/>
          <w:numId w:val="2"/>
        </w:numPr>
        <w:spacing w:line="360" w:lineRule="auto"/>
        <w:ind w:left="567" w:hanging="567"/>
      </w:pPr>
      <w:r w:rsidRPr="008713DC">
        <w:rPr>
          <w:i/>
          <w:iCs/>
        </w:rPr>
        <w:t>Seymour v Seymour</w:t>
      </w:r>
      <w:r w:rsidRPr="008713DC">
        <w:t xml:space="preserve"> (1996) 40</w:t>
      </w:r>
      <w:r w:rsidRPr="007765C0">
        <w:t xml:space="preserve"> NSW</w:t>
      </w:r>
      <w:r w:rsidR="008713DC">
        <w:t>L</w:t>
      </w:r>
      <w:r w:rsidRPr="007765C0">
        <w:t xml:space="preserve">R </w:t>
      </w:r>
      <w:proofErr w:type="gramStart"/>
      <w:r w:rsidRPr="007765C0">
        <w:t>358</w:t>
      </w:r>
      <w:r w:rsidR="00534AB7">
        <w:t>;</w:t>
      </w:r>
      <w:proofErr w:type="gramEnd"/>
    </w:p>
    <w:p w14:paraId="5814E95D" w14:textId="05F8B0DC" w:rsidR="001837AB" w:rsidRPr="00534AB7" w:rsidRDefault="00C62BCC" w:rsidP="00534AB7">
      <w:pPr>
        <w:pStyle w:val="ListParagraph"/>
        <w:numPr>
          <w:ilvl w:val="0"/>
          <w:numId w:val="2"/>
        </w:numPr>
        <w:spacing w:line="360" w:lineRule="auto"/>
        <w:ind w:left="567" w:hanging="567"/>
      </w:pPr>
      <w:r>
        <w:rPr>
          <w:i/>
          <w:iCs/>
        </w:rPr>
        <w:t>Twigg v Twigg</w:t>
      </w:r>
      <w:r>
        <w:t xml:space="preserve"> [</w:t>
      </w:r>
      <w:r w:rsidR="008131CE">
        <w:t xml:space="preserve">2022] NSWCA </w:t>
      </w:r>
      <w:proofErr w:type="gramStart"/>
      <w:r w:rsidR="008131CE">
        <w:t>68</w:t>
      </w:r>
      <w:r w:rsidR="00534AB7">
        <w:t>;</w:t>
      </w:r>
      <w:proofErr w:type="gramEnd"/>
    </w:p>
    <w:p w14:paraId="6A1213C4" w14:textId="1F316B80" w:rsidR="001837AB" w:rsidRPr="00534AB7" w:rsidRDefault="001837AB" w:rsidP="00534AB7">
      <w:pPr>
        <w:spacing w:line="360" w:lineRule="auto"/>
        <w:rPr>
          <w:b/>
          <w:bCs/>
          <w:i/>
          <w:iCs/>
          <w:u w:val="single"/>
        </w:rPr>
      </w:pPr>
      <w:r>
        <w:rPr>
          <w:b/>
          <w:bCs/>
          <w:i/>
          <w:iCs/>
          <w:u w:val="single"/>
        </w:rPr>
        <w:t>Reasonable Diligence</w:t>
      </w:r>
    </w:p>
    <w:p w14:paraId="23E1E21A" w14:textId="07DD6046" w:rsidR="001837AB" w:rsidRPr="00D047FD" w:rsidRDefault="001837AB" w:rsidP="00D047FD">
      <w:pPr>
        <w:pStyle w:val="ListParagraph"/>
        <w:numPr>
          <w:ilvl w:val="0"/>
          <w:numId w:val="2"/>
        </w:numPr>
        <w:spacing w:line="360" w:lineRule="auto"/>
        <w:ind w:left="567" w:hanging="567"/>
      </w:pPr>
      <w:r>
        <w:rPr>
          <w:i/>
          <w:iCs/>
        </w:rPr>
        <w:t xml:space="preserve">Upham v HSBC Plc </w:t>
      </w:r>
      <w:r>
        <w:t xml:space="preserve">[2024] EWHC </w:t>
      </w:r>
      <w:proofErr w:type="gramStart"/>
      <w:r>
        <w:t>849</w:t>
      </w:r>
      <w:r w:rsidR="00534AB7">
        <w:t>;</w:t>
      </w:r>
      <w:proofErr w:type="gramEnd"/>
    </w:p>
    <w:p w14:paraId="76BC453A" w14:textId="7392B73F" w:rsidR="001837AB" w:rsidRPr="001837AB" w:rsidRDefault="001837AB" w:rsidP="001837AB">
      <w:pPr>
        <w:pStyle w:val="ListParagraph"/>
        <w:spacing w:line="360" w:lineRule="auto"/>
        <w:ind w:firstLine="0"/>
        <w:rPr>
          <w:u w:val="single"/>
        </w:rPr>
      </w:pPr>
      <w:r w:rsidRPr="001837AB">
        <w:rPr>
          <w:i/>
          <w:iCs/>
          <w:u w:val="single"/>
        </w:rPr>
        <w:t xml:space="preserve">Leading </w:t>
      </w:r>
      <w:r>
        <w:rPr>
          <w:i/>
          <w:iCs/>
          <w:u w:val="single"/>
        </w:rPr>
        <w:t>c</w:t>
      </w:r>
      <w:r w:rsidRPr="001837AB">
        <w:rPr>
          <w:i/>
          <w:iCs/>
          <w:u w:val="single"/>
        </w:rPr>
        <w:t>ases</w:t>
      </w:r>
    </w:p>
    <w:p w14:paraId="4F82711F" w14:textId="2127C8A2" w:rsidR="001837AB" w:rsidRDefault="001837AB" w:rsidP="001837AB">
      <w:pPr>
        <w:pStyle w:val="ListParagraph"/>
        <w:numPr>
          <w:ilvl w:val="0"/>
          <w:numId w:val="2"/>
        </w:numPr>
        <w:spacing w:line="276" w:lineRule="auto"/>
        <w:ind w:left="567" w:hanging="567"/>
        <w:jc w:val="left"/>
      </w:pPr>
      <w:r w:rsidRPr="001837AB">
        <w:rPr>
          <w:i/>
          <w:iCs/>
        </w:rPr>
        <w:t>Test Claimants in the FII Group Litigation v Revenue and Customs Commissioners</w:t>
      </w:r>
      <w:r>
        <w:t xml:space="preserve"> [2020] AC 1 (mistake of law</w:t>
      </w:r>
      <w:proofErr w:type="gramStart"/>
      <w:r>
        <w:t>)</w:t>
      </w:r>
      <w:r w:rsidR="00534AB7">
        <w:t>;</w:t>
      </w:r>
      <w:proofErr w:type="gramEnd"/>
    </w:p>
    <w:p w14:paraId="3ACCB30B" w14:textId="77777777" w:rsidR="001837AB" w:rsidRDefault="001837AB" w:rsidP="001837AB">
      <w:pPr>
        <w:pStyle w:val="ListParagraph"/>
        <w:spacing w:line="276" w:lineRule="auto"/>
        <w:ind w:left="567" w:hanging="567"/>
        <w:jc w:val="left"/>
      </w:pPr>
    </w:p>
    <w:p w14:paraId="6C872057" w14:textId="6714B9C6" w:rsidR="001837AB" w:rsidRDefault="001837AB" w:rsidP="001837AB">
      <w:pPr>
        <w:pStyle w:val="ListParagraph"/>
        <w:numPr>
          <w:ilvl w:val="0"/>
          <w:numId w:val="2"/>
        </w:numPr>
        <w:spacing w:line="276" w:lineRule="auto"/>
        <w:ind w:left="567" w:hanging="567"/>
        <w:jc w:val="left"/>
      </w:pPr>
      <w:r w:rsidRPr="001837AB">
        <w:rPr>
          <w:i/>
          <w:iCs/>
        </w:rPr>
        <w:t>Gemalto Holding BV v Infineon Technologies AG</w:t>
      </w:r>
      <w:r>
        <w:t xml:space="preserve"> [2023] Ch 169 (cases of fraud and concealment</w:t>
      </w:r>
      <w:proofErr w:type="gramStart"/>
      <w:r>
        <w:t>)</w:t>
      </w:r>
      <w:r w:rsidR="00534AB7">
        <w:t>;</w:t>
      </w:r>
      <w:proofErr w:type="gramEnd"/>
    </w:p>
    <w:p w14:paraId="127E6472" w14:textId="15603D30" w:rsidR="001837AB" w:rsidRPr="001837AB" w:rsidRDefault="001837AB" w:rsidP="001837AB">
      <w:pPr>
        <w:spacing w:line="276" w:lineRule="auto"/>
        <w:ind w:left="720" w:firstLine="0"/>
        <w:jc w:val="left"/>
        <w:rPr>
          <w:i/>
          <w:iCs/>
          <w:u w:val="single"/>
        </w:rPr>
      </w:pPr>
      <w:r w:rsidRPr="001837AB">
        <w:rPr>
          <w:i/>
          <w:iCs/>
          <w:u w:val="single"/>
        </w:rPr>
        <w:t xml:space="preserve">Statement of </w:t>
      </w:r>
      <w:r>
        <w:rPr>
          <w:i/>
          <w:iCs/>
          <w:u w:val="single"/>
        </w:rPr>
        <w:t>c</w:t>
      </w:r>
      <w:r w:rsidRPr="001837AB">
        <w:rPr>
          <w:i/>
          <w:iCs/>
          <w:u w:val="single"/>
        </w:rPr>
        <w:t xml:space="preserve">laim vs </w:t>
      </w:r>
      <w:r>
        <w:rPr>
          <w:i/>
          <w:iCs/>
          <w:u w:val="single"/>
        </w:rPr>
        <w:t>w</w:t>
      </w:r>
      <w:r w:rsidRPr="001837AB">
        <w:rPr>
          <w:i/>
          <w:iCs/>
          <w:u w:val="single"/>
        </w:rPr>
        <w:t xml:space="preserve">orthwhile </w:t>
      </w:r>
      <w:r>
        <w:rPr>
          <w:i/>
          <w:iCs/>
          <w:u w:val="single"/>
        </w:rPr>
        <w:t>c</w:t>
      </w:r>
      <w:r w:rsidRPr="001837AB">
        <w:rPr>
          <w:i/>
          <w:iCs/>
          <w:u w:val="single"/>
        </w:rPr>
        <w:t xml:space="preserve">laim </w:t>
      </w:r>
    </w:p>
    <w:p w14:paraId="718CC5A2" w14:textId="0E4D21BF" w:rsidR="001837AB" w:rsidRDefault="001837AB" w:rsidP="001837AB">
      <w:pPr>
        <w:pStyle w:val="ListParagraph"/>
        <w:numPr>
          <w:ilvl w:val="0"/>
          <w:numId w:val="2"/>
        </w:numPr>
        <w:spacing w:line="360" w:lineRule="auto"/>
        <w:ind w:left="567" w:hanging="567"/>
        <w:jc w:val="left"/>
      </w:pPr>
      <w:r w:rsidRPr="001837AB">
        <w:rPr>
          <w:i/>
          <w:iCs/>
        </w:rPr>
        <w:t>Transworld v Hunt</w:t>
      </w:r>
      <w:r>
        <w:t xml:space="preserve"> [2025] EWHC 2480 (Ch</w:t>
      </w:r>
      <w:proofErr w:type="gramStart"/>
      <w:r>
        <w:t>)</w:t>
      </w:r>
      <w:r w:rsidR="00534AB7">
        <w:t>;</w:t>
      </w:r>
      <w:proofErr w:type="gramEnd"/>
    </w:p>
    <w:p w14:paraId="4086BE81" w14:textId="4014552F" w:rsidR="001837AB" w:rsidRDefault="001837AB" w:rsidP="001837AB">
      <w:pPr>
        <w:pStyle w:val="ListParagraph"/>
        <w:numPr>
          <w:ilvl w:val="0"/>
          <w:numId w:val="2"/>
        </w:numPr>
        <w:spacing w:line="360" w:lineRule="auto"/>
        <w:ind w:left="567" w:hanging="567"/>
        <w:jc w:val="left"/>
      </w:pPr>
      <w:r w:rsidRPr="001837AB">
        <w:rPr>
          <w:i/>
          <w:iCs/>
        </w:rPr>
        <w:t>Arif v Sanger</w:t>
      </w:r>
      <w:r>
        <w:t xml:space="preserve"> [2025] EWHC 1540 (KB</w:t>
      </w:r>
      <w:proofErr w:type="gramStart"/>
      <w:r>
        <w:t>)</w:t>
      </w:r>
      <w:r w:rsidR="00534AB7">
        <w:t>;</w:t>
      </w:r>
      <w:proofErr w:type="gramEnd"/>
    </w:p>
    <w:p w14:paraId="31AEFF78" w14:textId="79D5EB97" w:rsidR="001837AB" w:rsidRPr="00D047FD" w:rsidRDefault="001837AB" w:rsidP="00D047FD">
      <w:pPr>
        <w:pStyle w:val="ListParagraph"/>
        <w:numPr>
          <w:ilvl w:val="0"/>
          <w:numId w:val="2"/>
        </w:numPr>
        <w:spacing w:line="360" w:lineRule="auto"/>
        <w:ind w:left="567" w:hanging="567"/>
        <w:jc w:val="left"/>
      </w:pPr>
      <w:r w:rsidRPr="001837AB">
        <w:rPr>
          <w:i/>
          <w:iCs/>
        </w:rPr>
        <w:t>Superfast Trading v Bank of Ireland</w:t>
      </w:r>
      <w:r>
        <w:t xml:space="preserve"> [2025] EWHC 871 (Comm) at [86]-[99</w:t>
      </w:r>
      <w:proofErr w:type="gramStart"/>
      <w:r>
        <w:t>]</w:t>
      </w:r>
      <w:r w:rsidR="00534AB7">
        <w:t>;</w:t>
      </w:r>
      <w:proofErr w:type="gramEnd"/>
    </w:p>
    <w:p w14:paraId="7AE6568A" w14:textId="27647673" w:rsidR="001837AB" w:rsidRPr="001837AB" w:rsidRDefault="001837AB" w:rsidP="001837AB">
      <w:pPr>
        <w:pStyle w:val="ListParagraph"/>
        <w:spacing w:line="360" w:lineRule="auto"/>
        <w:ind w:left="567" w:firstLine="0"/>
        <w:jc w:val="left"/>
        <w:rPr>
          <w:u w:val="single"/>
        </w:rPr>
      </w:pPr>
      <w:r w:rsidRPr="001837AB">
        <w:rPr>
          <w:i/>
          <w:iCs/>
          <w:u w:val="single"/>
        </w:rPr>
        <w:t>Discovery of different claims at different times</w:t>
      </w:r>
    </w:p>
    <w:p w14:paraId="56860C72" w14:textId="2061CF1D" w:rsidR="001837AB" w:rsidRPr="00D047FD" w:rsidRDefault="001837AB" w:rsidP="00D047FD">
      <w:pPr>
        <w:pStyle w:val="ListParagraph"/>
        <w:numPr>
          <w:ilvl w:val="0"/>
          <w:numId w:val="2"/>
        </w:numPr>
        <w:spacing w:line="360" w:lineRule="auto"/>
        <w:ind w:left="567" w:hanging="567"/>
        <w:jc w:val="left"/>
      </w:pPr>
      <w:r>
        <w:rPr>
          <w:i/>
          <w:iCs/>
        </w:rPr>
        <w:t xml:space="preserve">Grant v News Group Newspapers </w:t>
      </w:r>
      <w:r>
        <w:t>[2023] EWHC 1273 (Ch</w:t>
      </w:r>
      <w:proofErr w:type="gramStart"/>
      <w:r>
        <w:t>)</w:t>
      </w:r>
      <w:r w:rsidR="00534AB7">
        <w:t>;</w:t>
      </w:r>
      <w:proofErr w:type="gramEnd"/>
    </w:p>
    <w:p w14:paraId="441265AD" w14:textId="7B2CE0C7" w:rsidR="001837AB" w:rsidRPr="001837AB" w:rsidRDefault="001837AB" w:rsidP="001837AB">
      <w:pPr>
        <w:pStyle w:val="ListParagraph"/>
        <w:spacing w:line="360" w:lineRule="auto"/>
        <w:ind w:left="567" w:firstLine="0"/>
        <w:jc w:val="left"/>
        <w:rPr>
          <w:u w:val="single"/>
        </w:rPr>
      </w:pPr>
      <w:r w:rsidRPr="001837AB">
        <w:rPr>
          <w:i/>
          <w:iCs/>
          <w:u w:val="single"/>
        </w:rPr>
        <w:t>Objective test? Relevance of claimant’s characteristics</w:t>
      </w:r>
    </w:p>
    <w:p w14:paraId="5BDABE78" w14:textId="4C0988B3" w:rsidR="001837AB" w:rsidRPr="001837AB" w:rsidRDefault="001837AB" w:rsidP="001837AB">
      <w:pPr>
        <w:pStyle w:val="ListParagraph"/>
        <w:numPr>
          <w:ilvl w:val="0"/>
          <w:numId w:val="2"/>
        </w:numPr>
        <w:spacing w:line="360" w:lineRule="auto"/>
        <w:ind w:left="567" w:hanging="567"/>
        <w:jc w:val="left"/>
      </w:pPr>
      <w:r w:rsidRPr="001837AB">
        <w:rPr>
          <w:i/>
          <w:iCs/>
        </w:rPr>
        <w:t>OT Computers Ltd v Infineon Technologies AG and others</w:t>
      </w:r>
      <w:r w:rsidRPr="001837AB">
        <w:t xml:space="preserve"> [2021] QB </w:t>
      </w:r>
      <w:proofErr w:type="gramStart"/>
      <w:r w:rsidRPr="001837AB">
        <w:t>1183</w:t>
      </w:r>
      <w:r w:rsidR="00534AB7">
        <w:t>;</w:t>
      </w:r>
      <w:proofErr w:type="gramEnd"/>
    </w:p>
    <w:p w14:paraId="71C9DDC1" w14:textId="32143387" w:rsidR="001837AB" w:rsidRPr="001837AB" w:rsidRDefault="001837AB" w:rsidP="001837AB">
      <w:pPr>
        <w:pStyle w:val="ListParagraph"/>
        <w:numPr>
          <w:ilvl w:val="0"/>
          <w:numId w:val="2"/>
        </w:numPr>
        <w:spacing w:line="360" w:lineRule="auto"/>
        <w:ind w:left="567" w:hanging="567"/>
        <w:jc w:val="left"/>
      </w:pPr>
      <w:r w:rsidRPr="001837AB">
        <w:rPr>
          <w:i/>
          <w:iCs/>
        </w:rPr>
        <w:t>BAT Industries v IRC (FII Test Claimants II)</w:t>
      </w:r>
      <w:r w:rsidRPr="001837AB">
        <w:t xml:space="preserve"> [2025] EWCA </w:t>
      </w:r>
      <w:proofErr w:type="spellStart"/>
      <w:r w:rsidRPr="001837AB">
        <w:t>Civ</w:t>
      </w:r>
      <w:proofErr w:type="spellEnd"/>
      <w:r w:rsidRPr="001837AB">
        <w:t xml:space="preserve"> </w:t>
      </w:r>
      <w:proofErr w:type="gramStart"/>
      <w:r w:rsidRPr="001837AB">
        <w:t>1271</w:t>
      </w:r>
      <w:r w:rsidR="00534AB7">
        <w:t>;</w:t>
      </w:r>
      <w:proofErr w:type="gramEnd"/>
    </w:p>
    <w:p w14:paraId="684D1EFC" w14:textId="15106C37" w:rsidR="001837AB" w:rsidRPr="001837AB" w:rsidRDefault="001837AB" w:rsidP="001837AB">
      <w:pPr>
        <w:pStyle w:val="ListParagraph"/>
        <w:numPr>
          <w:ilvl w:val="0"/>
          <w:numId w:val="2"/>
        </w:numPr>
        <w:spacing w:line="360" w:lineRule="auto"/>
        <w:ind w:left="567" w:hanging="567"/>
        <w:jc w:val="left"/>
        <w:rPr>
          <w:i/>
          <w:iCs/>
        </w:rPr>
      </w:pPr>
      <w:r w:rsidRPr="001837AB">
        <w:rPr>
          <w:i/>
          <w:iCs/>
        </w:rPr>
        <w:t>Superfast Trading v Bank of Ireland</w:t>
      </w:r>
      <w:r w:rsidRPr="001837AB">
        <w:t xml:space="preserve"> [2025] EWHC 871 (Comm) at [141]-[148</w:t>
      </w:r>
      <w:proofErr w:type="gramStart"/>
      <w:r w:rsidRPr="001837AB">
        <w:t>]</w:t>
      </w:r>
      <w:r w:rsidR="00534AB7">
        <w:t>;</w:t>
      </w:r>
      <w:proofErr w:type="gramEnd"/>
    </w:p>
    <w:p w14:paraId="71AA9CB5" w14:textId="19B240A6" w:rsidR="001837AB" w:rsidRPr="001837AB" w:rsidRDefault="001837AB" w:rsidP="001837AB">
      <w:pPr>
        <w:pStyle w:val="ListParagraph"/>
        <w:numPr>
          <w:ilvl w:val="0"/>
          <w:numId w:val="2"/>
        </w:numPr>
        <w:spacing w:line="360" w:lineRule="auto"/>
        <w:ind w:left="567" w:hanging="567"/>
        <w:jc w:val="left"/>
        <w:rPr>
          <w:i/>
          <w:iCs/>
        </w:rPr>
      </w:pPr>
      <w:r w:rsidRPr="001837AB">
        <w:rPr>
          <w:i/>
          <w:iCs/>
        </w:rPr>
        <w:t>In Media Trust v BGB Weston</w:t>
      </w:r>
      <w:r w:rsidRPr="001837AB">
        <w:t xml:space="preserve"> [2024] EWHC 3277 (KB</w:t>
      </w:r>
      <w:proofErr w:type="gramStart"/>
      <w:r w:rsidRPr="001837AB">
        <w:t>)</w:t>
      </w:r>
      <w:r w:rsidR="00534AB7">
        <w:t>;</w:t>
      </w:r>
      <w:proofErr w:type="gramEnd"/>
      <w:r w:rsidRPr="001837AB">
        <w:t xml:space="preserve"> </w:t>
      </w:r>
    </w:p>
    <w:p w14:paraId="6B64F350" w14:textId="77777777" w:rsidR="00F53AC8" w:rsidRDefault="001837AB" w:rsidP="001837AB">
      <w:pPr>
        <w:pStyle w:val="ListParagraph"/>
        <w:numPr>
          <w:ilvl w:val="0"/>
          <w:numId w:val="2"/>
        </w:numPr>
        <w:spacing w:line="360" w:lineRule="auto"/>
        <w:ind w:left="567" w:hanging="567"/>
        <w:jc w:val="left"/>
      </w:pPr>
      <w:proofErr w:type="spellStart"/>
      <w:r w:rsidRPr="001837AB">
        <w:rPr>
          <w:i/>
          <w:iCs/>
        </w:rPr>
        <w:t>Bilta</w:t>
      </w:r>
      <w:proofErr w:type="spellEnd"/>
      <w:r w:rsidRPr="001837AB">
        <w:rPr>
          <w:i/>
          <w:iCs/>
        </w:rPr>
        <w:t xml:space="preserve"> v Tradition Financial Services</w:t>
      </w:r>
      <w:r w:rsidRPr="001837AB">
        <w:t xml:space="preserve"> [2025] UKSC </w:t>
      </w:r>
      <w:proofErr w:type="gramStart"/>
      <w:r w:rsidRPr="001837AB">
        <w:t>1015</w:t>
      </w:r>
      <w:r w:rsidR="00534AB7">
        <w:t>;</w:t>
      </w:r>
      <w:proofErr w:type="gramEnd"/>
    </w:p>
    <w:p w14:paraId="7072427C" w14:textId="77777777" w:rsidR="006254EB" w:rsidRDefault="00F53AC8" w:rsidP="006254EB">
      <w:pPr>
        <w:pStyle w:val="ListParagraph"/>
        <w:numPr>
          <w:ilvl w:val="0"/>
          <w:numId w:val="2"/>
        </w:numPr>
        <w:spacing w:line="360" w:lineRule="auto"/>
        <w:ind w:left="567" w:hanging="567"/>
        <w:jc w:val="left"/>
        <w:rPr>
          <w:i/>
          <w:iCs/>
        </w:rPr>
      </w:pPr>
      <w:r w:rsidRPr="00AA7453">
        <w:rPr>
          <w:i/>
          <w:iCs/>
        </w:rPr>
        <w:t xml:space="preserve">Sun Tian Gang v </w:t>
      </w:r>
      <w:proofErr w:type="spellStart"/>
      <w:r w:rsidRPr="00AA7453">
        <w:rPr>
          <w:i/>
          <w:iCs/>
        </w:rPr>
        <w:t>Changun</w:t>
      </w:r>
      <w:proofErr w:type="spellEnd"/>
      <w:r w:rsidRPr="00AA7453">
        <w:rPr>
          <w:i/>
          <w:iCs/>
        </w:rPr>
        <w:t xml:space="preserve"> High &amp; New Technology </w:t>
      </w:r>
      <w:proofErr w:type="spellStart"/>
      <w:r w:rsidRPr="00AA7453">
        <w:rPr>
          <w:i/>
          <w:iCs/>
        </w:rPr>
        <w:t>Industried</w:t>
      </w:r>
      <w:proofErr w:type="spellEnd"/>
      <w:r w:rsidRPr="00AA7453">
        <w:rPr>
          <w:i/>
          <w:iCs/>
        </w:rPr>
        <w:t xml:space="preserve"> [2025] HKCA 188</w:t>
      </w:r>
    </w:p>
    <w:p w14:paraId="41781846" w14:textId="2EEB1332" w:rsidR="00796367" w:rsidRPr="00D047FD" w:rsidRDefault="006254EB" w:rsidP="00D047FD">
      <w:pPr>
        <w:pStyle w:val="ListParagraph"/>
        <w:numPr>
          <w:ilvl w:val="0"/>
          <w:numId w:val="2"/>
        </w:numPr>
        <w:spacing w:line="360" w:lineRule="auto"/>
        <w:ind w:left="567" w:hanging="567"/>
        <w:jc w:val="left"/>
        <w:rPr>
          <w:i/>
          <w:iCs/>
        </w:rPr>
      </w:pPr>
      <w:r w:rsidRPr="00796367">
        <w:rPr>
          <w:i/>
          <w:iCs/>
          <w:color w:val="333333"/>
          <w:spacing w:val="-5"/>
        </w:rPr>
        <w:t>Twigg v Twigg [2022] NSWCA 68</w:t>
      </w:r>
    </w:p>
    <w:p w14:paraId="3524AEF0" w14:textId="6A59092F" w:rsidR="001837AB" w:rsidRPr="001837AB" w:rsidRDefault="001837AB" w:rsidP="001837AB">
      <w:pPr>
        <w:pStyle w:val="ListParagraph"/>
        <w:spacing w:line="360" w:lineRule="auto"/>
        <w:ind w:left="567" w:firstLine="0"/>
        <w:jc w:val="left"/>
        <w:rPr>
          <w:u w:val="single"/>
        </w:rPr>
      </w:pPr>
      <w:r w:rsidRPr="001837AB">
        <w:rPr>
          <w:i/>
          <w:iCs/>
          <w:u w:val="single"/>
        </w:rPr>
        <w:t>Whose diligence? Agents?</w:t>
      </w:r>
    </w:p>
    <w:p w14:paraId="09EB8D30" w14:textId="07F9EAD2" w:rsidR="001837AB" w:rsidRPr="001837AB" w:rsidRDefault="001837AB" w:rsidP="001837AB">
      <w:pPr>
        <w:pStyle w:val="ListParagraph"/>
        <w:numPr>
          <w:ilvl w:val="0"/>
          <w:numId w:val="2"/>
        </w:numPr>
        <w:spacing w:line="360" w:lineRule="auto"/>
        <w:ind w:left="567" w:hanging="567"/>
        <w:jc w:val="left"/>
      </w:pPr>
      <w:proofErr w:type="spellStart"/>
      <w:r w:rsidRPr="00137F3B">
        <w:rPr>
          <w:i/>
          <w:iCs/>
        </w:rPr>
        <w:t>Riyait</w:t>
      </w:r>
      <w:proofErr w:type="spellEnd"/>
      <w:r w:rsidRPr="00137F3B">
        <w:rPr>
          <w:i/>
          <w:iCs/>
        </w:rPr>
        <w:t xml:space="preserve"> v </w:t>
      </w:r>
      <w:proofErr w:type="spellStart"/>
      <w:r w:rsidRPr="00137F3B">
        <w:rPr>
          <w:i/>
          <w:iCs/>
        </w:rPr>
        <w:t>Dawett</w:t>
      </w:r>
      <w:proofErr w:type="spellEnd"/>
      <w:r w:rsidRPr="001837AB">
        <w:t xml:space="preserve"> [2018] EWCA </w:t>
      </w:r>
      <w:proofErr w:type="spellStart"/>
      <w:r w:rsidRPr="001837AB">
        <w:t>Civ</w:t>
      </w:r>
      <w:proofErr w:type="spellEnd"/>
      <w:r w:rsidRPr="001837AB">
        <w:t xml:space="preserve"> </w:t>
      </w:r>
      <w:proofErr w:type="gramStart"/>
      <w:r w:rsidRPr="001837AB">
        <w:t>593</w:t>
      </w:r>
      <w:r w:rsidR="00534AB7">
        <w:t>;</w:t>
      </w:r>
      <w:proofErr w:type="gramEnd"/>
      <w:r w:rsidRPr="001837AB">
        <w:t xml:space="preserve"> </w:t>
      </w:r>
    </w:p>
    <w:p w14:paraId="4F8BB755" w14:textId="180C8D0B" w:rsidR="0042684C" w:rsidRPr="00D047FD" w:rsidRDefault="00137F3B" w:rsidP="00D047FD">
      <w:pPr>
        <w:pStyle w:val="ListParagraph"/>
        <w:numPr>
          <w:ilvl w:val="0"/>
          <w:numId w:val="2"/>
        </w:numPr>
        <w:spacing w:line="360" w:lineRule="auto"/>
        <w:ind w:left="567" w:hanging="567"/>
      </w:pPr>
      <w:r>
        <w:rPr>
          <w:i/>
          <w:iCs/>
        </w:rPr>
        <w:t xml:space="preserve">IBM United Kingdom Ltd v </w:t>
      </w:r>
      <w:proofErr w:type="spellStart"/>
      <w:r>
        <w:rPr>
          <w:i/>
          <w:iCs/>
        </w:rPr>
        <w:t>LzLabs</w:t>
      </w:r>
      <w:proofErr w:type="spellEnd"/>
      <w:r>
        <w:rPr>
          <w:i/>
          <w:iCs/>
        </w:rPr>
        <w:t xml:space="preserve"> GmbH</w:t>
      </w:r>
      <w:r>
        <w:t xml:space="preserve"> [2025] EWHC 532 (TCC</w:t>
      </w:r>
      <w:proofErr w:type="gramStart"/>
      <w:r>
        <w:t>)</w:t>
      </w:r>
      <w:r w:rsidR="00534AB7">
        <w:t>;</w:t>
      </w:r>
      <w:proofErr w:type="gramEnd"/>
    </w:p>
    <w:p w14:paraId="670F08C7" w14:textId="0695CCA4" w:rsidR="0042684C" w:rsidRPr="0042684C" w:rsidRDefault="0042684C" w:rsidP="0042684C">
      <w:pPr>
        <w:pStyle w:val="ListParagraph"/>
        <w:spacing w:line="360" w:lineRule="auto"/>
        <w:ind w:left="567" w:firstLine="0"/>
        <w:rPr>
          <w:u w:val="single"/>
        </w:rPr>
      </w:pPr>
      <w:r w:rsidRPr="0042684C">
        <w:rPr>
          <w:i/>
          <w:iCs/>
          <w:u w:val="single"/>
        </w:rPr>
        <w:t>The relevance of a trigger</w:t>
      </w:r>
    </w:p>
    <w:p w14:paraId="46DA207D" w14:textId="289512B0" w:rsidR="0042684C" w:rsidRDefault="0042684C" w:rsidP="00872C34">
      <w:pPr>
        <w:pStyle w:val="ListParagraph"/>
        <w:numPr>
          <w:ilvl w:val="0"/>
          <w:numId w:val="2"/>
        </w:numPr>
        <w:spacing w:line="360" w:lineRule="auto"/>
        <w:ind w:left="426" w:hanging="426"/>
        <w:jc w:val="left"/>
      </w:pPr>
      <w:r w:rsidRPr="0042684C">
        <w:rPr>
          <w:i/>
          <w:iCs/>
        </w:rPr>
        <w:t xml:space="preserve">OT Computers </w:t>
      </w:r>
      <w:proofErr w:type="gramStart"/>
      <w:r w:rsidRPr="0042684C">
        <w:rPr>
          <w:i/>
          <w:iCs/>
        </w:rPr>
        <w:t>Ltd  v</w:t>
      </w:r>
      <w:proofErr w:type="gramEnd"/>
      <w:r w:rsidRPr="0042684C">
        <w:rPr>
          <w:i/>
          <w:iCs/>
        </w:rPr>
        <w:t xml:space="preserve"> Infineon Technologies AG and others</w:t>
      </w:r>
      <w:r>
        <w:t xml:space="preserve"> [2021] QB </w:t>
      </w:r>
      <w:proofErr w:type="gramStart"/>
      <w:r>
        <w:t>1183</w:t>
      </w:r>
      <w:r w:rsidR="00534AB7">
        <w:t>;</w:t>
      </w:r>
      <w:proofErr w:type="gramEnd"/>
    </w:p>
    <w:p w14:paraId="391D2D62" w14:textId="79FABE61" w:rsidR="0042684C" w:rsidRDefault="0042684C" w:rsidP="00872C34">
      <w:pPr>
        <w:pStyle w:val="ListParagraph"/>
        <w:numPr>
          <w:ilvl w:val="0"/>
          <w:numId w:val="2"/>
        </w:numPr>
        <w:spacing w:line="360" w:lineRule="auto"/>
        <w:ind w:left="426" w:hanging="426"/>
        <w:jc w:val="left"/>
      </w:pPr>
      <w:r w:rsidRPr="001837AB">
        <w:rPr>
          <w:i/>
          <w:iCs/>
        </w:rPr>
        <w:t>Superfast Trading v Bank of Ireland</w:t>
      </w:r>
      <w:r w:rsidRPr="001837AB">
        <w:t xml:space="preserve"> [2025] EWHC 871 (Comm) </w:t>
      </w:r>
      <w:r>
        <w:t>[64]-[85</w:t>
      </w:r>
      <w:proofErr w:type="gramStart"/>
      <w:r>
        <w:t>]</w:t>
      </w:r>
      <w:r w:rsidR="00534AB7">
        <w:t>;</w:t>
      </w:r>
      <w:proofErr w:type="gramEnd"/>
    </w:p>
    <w:p w14:paraId="35501590" w14:textId="77779E1B" w:rsidR="00C91640" w:rsidRPr="0042684C" w:rsidRDefault="00231E51" w:rsidP="0042684C">
      <w:pPr>
        <w:spacing w:line="360" w:lineRule="auto"/>
        <w:rPr>
          <w:b/>
          <w:bCs/>
          <w:i/>
          <w:iCs/>
          <w:u w:val="single"/>
        </w:rPr>
      </w:pPr>
      <w:r>
        <w:rPr>
          <w:b/>
          <w:bCs/>
          <w:i/>
          <w:iCs/>
          <w:u w:val="single"/>
        </w:rPr>
        <w:t>Based on the f</w:t>
      </w:r>
      <w:r w:rsidR="0042684C" w:rsidRPr="0042684C">
        <w:rPr>
          <w:b/>
          <w:bCs/>
          <w:i/>
          <w:iCs/>
          <w:u w:val="single"/>
        </w:rPr>
        <w:t>raud</w:t>
      </w:r>
      <w:r>
        <w:rPr>
          <w:b/>
          <w:bCs/>
          <w:i/>
          <w:iCs/>
          <w:u w:val="single"/>
        </w:rPr>
        <w:t xml:space="preserve"> of the defendant</w:t>
      </w:r>
    </w:p>
    <w:p w14:paraId="2C8F9FDE" w14:textId="733A8F36" w:rsidR="00F220EF" w:rsidRDefault="00F220EF" w:rsidP="00843CCF">
      <w:pPr>
        <w:pStyle w:val="ListParagraph"/>
        <w:numPr>
          <w:ilvl w:val="0"/>
          <w:numId w:val="2"/>
        </w:numPr>
        <w:spacing w:line="360" w:lineRule="auto"/>
        <w:ind w:left="567" w:hanging="567"/>
      </w:pPr>
      <w:r w:rsidRPr="00F220EF">
        <w:rPr>
          <w:i/>
          <w:iCs/>
        </w:rPr>
        <w:t>Sixteenth Ocean GmbH v Soci</w:t>
      </w:r>
      <w:r w:rsidR="00843CCF">
        <w:rPr>
          <w:i/>
          <w:iCs/>
        </w:rPr>
        <w:t>é</w:t>
      </w:r>
      <w:r w:rsidRPr="00F220EF">
        <w:rPr>
          <w:i/>
          <w:iCs/>
        </w:rPr>
        <w:t>t</w:t>
      </w:r>
      <w:r w:rsidR="00843CCF">
        <w:rPr>
          <w:i/>
          <w:iCs/>
        </w:rPr>
        <w:t>é</w:t>
      </w:r>
      <w:r w:rsidRPr="00F220EF">
        <w:rPr>
          <w:i/>
          <w:iCs/>
        </w:rPr>
        <w:t xml:space="preserve"> G</w:t>
      </w:r>
      <w:r w:rsidR="00843CCF">
        <w:rPr>
          <w:i/>
          <w:iCs/>
        </w:rPr>
        <w:t>é</w:t>
      </w:r>
      <w:r w:rsidRPr="00F220EF">
        <w:rPr>
          <w:i/>
          <w:iCs/>
        </w:rPr>
        <w:t>n</w:t>
      </w:r>
      <w:r w:rsidR="00843CCF">
        <w:rPr>
          <w:i/>
          <w:iCs/>
        </w:rPr>
        <w:t>é</w:t>
      </w:r>
      <w:r w:rsidRPr="00F220EF">
        <w:rPr>
          <w:i/>
          <w:iCs/>
        </w:rPr>
        <w:t xml:space="preserve">rale </w:t>
      </w:r>
      <w:r>
        <w:t>[2018] EWHC 1731 (Comm</w:t>
      </w:r>
      <w:proofErr w:type="gramStart"/>
      <w:r>
        <w:t>)</w:t>
      </w:r>
      <w:r w:rsidR="00534AB7">
        <w:t>;</w:t>
      </w:r>
      <w:proofErr w:type="gramEnd"/>
    </w:p>
    <w:p w14:paraId="1CF4E1DD" w14:textId="47C1DCA5" w:rsidR="00F220EF" w:rsidRDefault="00F220EF" w:rsidP="00843CCF">
      <w:pPr>
        <w:pStyle w:val="ListParagraph"/>
        <w:numPr>
          <w:ilvl w:val="0"/>
          <w:numId w:val="2"/>
        </w:numPr>
        <w:spacing w:line="360" w:lineRule="auto"/>
        <w:ind w:left="567" w:hanging="567"/>
      </w:pPr>
      <w:r w:rsidRPr="00F220EF">
        <w:rPr>
          <w:i/>
          <w:iCs/>
        </w:rPr>
        <w:t>Cunningham v Ellis</w:t>
      </w:r>
      <w:r>
        <w:t xml:space="preserve"> [2018] EWHC 3188 (Comm</w:t>
      </w:r>
      <w:proofErr w:type="gramStart"/>
      <w:r>
        <w:t>)</w:t>
      </w:r>
      <w:r w:rsidR="00534AB7">
        <w:t>;</w:t>
      </w:r>
      <w:proofErr w:type="gramEnd"/>
    </w:p>
    <w:p w14:paraId="7989A96F" w14:textId="6F270A45" w:rsidR="00F220EF" w:rsidRDefault="00F220EF" w:rsidP="00843CCF">
      <w:pPr>
        <w:pStyle w:val="ListParagraph"/>
        <w:numPr>
          <w:ilvl w:val="0"/>
          <w:numId w:val="2"/>
        </w:numPr>
        <w:spacing w:line="360" w:lineRule="auto"/>
        <w:ind w:left="567" w:hanging="567"/>
      </w:pPr>
      <w:r w:rsidRPr="00F220EF">
        <w:rPr>
          <w:i/>
          <w:iCs/>
        </w:rPr>
        <w:t>Hotel Portfolio II UK Ltd v Ruhan</w:t>
      </w:r>
      <w:r>
        <w:t xml:space="preserve"> [2022] EWHC 383 (Comm), at [312</w:t>
      </w:r>
      <w:proofErr w:type="gramStart"/>
      <w:r>
        <w:t>]</w:t>
      </w:r>
      <w:r w:rsidR="00534AB7">
        <w:t>;</w:t>
      </w:r>
      <w:proofErr w:type="gramEnd"/>
      <w:r>
        <w:t xml:space="preserve"> </w:t>
      </w:r>
    </w:p>
    <w:p w14:paraId="3135F279" w14:textId="27B53E62" w:rsidR="00F220EF" w:rsidRDefault="00F220EF" w:rsidP="00843CCF">
      <w:pPr>
        <w:pStyle w:val="ListParagraph"/>
        <w:numPr>
          <w:ilvl w:val="0"/>
          <w:numId w:val="2"/>
        </w:numPr>
        <w:spacing w:line="360" w:lineRule="auto"/>
        <w:ind w:left="567" w:hanging="567"/>
      </w:pPr>
      <w:proofErr w:type="spellStart"/>
      <w:r w:rsidRPr="00F220EF">
        <w:rPr>
          <w:i/>
          <w:iCs/>
        </w:rPr>
        <w:t>Morjaria</w:t>
      </w:r>
      <w:proofErr w:type="spellEnd"/>
      <w:r w:rsidRPr="00F220EF">
        <w:rPr>
          <w:i/>
          <w:iCs/>
        </w:rPr>
        <w:t xml:space="preserve"> v Mirza</w:t>
      </w:r>
      <w:r>
        <w:t> [2025] EWHC 1961</w:t>
      </w:r>
      <w:r w:rsidR="00843CCF">
        <w:t xml:space="preserve"> (Ch</w:t>
      </w:r>
      <w:proofErr w:type="gramStart"/>
      <w:r w:rsidR="00843CCF">
        <w:t>)</w:t>
      </w:r>
      <w:r w:rsidR="00534AB7">
        <w:t>;</w:t>
      </w:r>
      <w:proofErr w:type="gramEnd"/>
    </w:p>
    <w:p w14:paraId="1E6982F5" w14:textId="14406B07" w:rsidR="00FE4B10" w:rsidRPr="00FE4B10" w:rsidRDefault="00FE4B10" w:rsidP="00FE4B10">
      <w:pPr>
        <w:spacing w:line="360" w:lineRule="auto"/>
        <w:ind w:left="0" w:firstLine="0"/>
        <w:rPr>
          <w:b/>
          <w:bCs/>
          <w:i/>
          <w:iCs/>
          <w:u w:val="single"/>
        </w:rPr>
      </w:pPr>
      <w:r w:rsidRPr="00FE4B10">
        <w:rPr>
          <w:b/>
          <w:bCs/>
          <w:i/>
          <w:iCs/>
          <w:u w:val="single"/>
        </w:rPr>
        <w:t>Mistake</w:t>
      </w:r>
      <w:r w:rsidR="0062537D">
        <w:rPr>
          <w:b/>
          <w:bCs/>
          <w:i/>
          <w:iCs/>
          <w:u w:val="single"/>
        </w:rPr>
        <w:t>: application of common law by analogy to equitable mistake</w:t>
      </w:r>
    </w:p>
    <w:p w14:paraId="0B6DCCF6" w14:textId="77777777" w:rsidR="00CA49ED" w:rsidRDefault="00CA49ED" w:rsidP="00CA49ED">
      <w:pPr>
        <w:pStyle w:val="ListParagraph"/>
        <w:numPr>
          <w:ilvl w:val="0"/>
          <w:numId w:val="2"/>
        </w:numPr>
        <w:spacing w:line="360" w:lineRule="auto"/>
        <w:ind w:left="567" w:hanging="567"/>
      </w:pPr>
      <w:r w:rsidRPr="00CA49ED">
        <w:rPr>
          <w:i/>
          <w:iCs/>
        </w:rPr>
        <w:t>Pitt v Holt</w:t>
      </w:r>
      <w:r w:rsidRPr="00CA49ED">
        <w:t xml:space="preserve"> [2013] 2AC </w:t>
      </w:r>
      <w:proofErr w:type="gramStart"/>
      <w:r w:rsidRPr="00CA49ED">
        <w:t>108;</w:t>
      </w:r>
      <w:proofErr w:type="gramEnd"/>
      <w:r w:rsidRPr="00CA49ED">
        <w:t xml:space="preserve"> </w:t>
      </w:r>
    </w:p>
    <w:p w14:paraId="76F2CB04" w14:textId="77777777" w:rsidR="0062537D" w:rsidRDefault="00CA49ED" w:rsidP="0062537D">
      <w:pPr>
        <w:pStyle w:val="ListParagraph"/>
        <w:numPr>
          <w:ilvl w:val="0"/>
          <w:numId w:val="2"/>
        </w:numPr>
        <w:spacing w:line="360" w:lineRule="auto"/>
        <w:ind w:left="567" w:hanging="567"/>
      </w:pPr>
      <w:r w:rsidRPr="00CA49ED">
        <w:rPr>
          <w:i/>
          <w:iCs/>
        </w:rPr>
        <w:t>Van der Merwe v Goldman</w:t>
      </w:r>
      <w:r w:rsidRPr="00CA49ED">
        <w:t xml:space="preserve"> [2016] 4 WLR </w:t>
      </w:r>
      <w:proofErr w:type="gramStart"/>
      <w:r w:rsidRPr="00CA49ED">
        <w:t>71</w:t>
      </w:r>
      <w:r>
        <w:t>;</w:t>
      </w:r>
      <w:proofErr w:type="gramEnd"/>
    </w:p>
    <w:p w14:paraId="5877749E" w14:textId="668C5921" w:rsidR="0062537D" w:rsidRDefault="00CA49ED" w:rsidP="0062537D">
      <w:pPr>
        <w:pStyle w:val="ListParagraph"/>
        <w:numPr>
          <w:ilvl w:val="0"/>
          <w:numId w:val="2"/>
        </w:numPr>
        <w:spacing w:line="360" w:lineRule="auto"/>
        <w:ind w:left="567" w:hanging="567"/>
      </w:pPr>
      <w:r w:rsidRPr="0062537D">
        <w:rPr>
          <w:i/>
          <w:iCs/>
        </w:rPr>
        <w:t>P&amp;O Nedlloyd v Arab Metals</w:t>
      </w:r>
      <w:r w:rsidRPr="00CA49ED">
        <w:t xml:space="preserve"> [2007] 1 WLR </w:t>
      </w:r>
      <w:proofErr w:type="gramStart"/>
      <w:r w:rsidRPr="00CA49ED">
        <w:t>2288</w:t>
      </w:r>
      <w:r w:rsidR="0062537D">
        <w:t>;</w:t>
      </w:r>
      <w:proofErr w:type="gramEnd"/>
    </w:p>
    <w:p w14:paraId="3A5E74B6" w14:textId="76BA577E" w:rsidR="0062537D" w:rsidRDefault="00CA49ED" w:rsidP="0062537D">
      <w:pPr>
        <w:pStyle w:val="ListParagraph"/>
        <w:numPr>
          <w:ilvl w:val="0"/>
          <w:numId w:val="2"/>
        </w:numPr>
        <w:spacing w:line="360" w:lineRule="auto"/>
        <w:ind w:left="567" w:hanging="567"/>
      </w:pPr>
      <w:r w:rsidRPr="0062537D">
        <w:rPr>
          <w:i/>
          <w:iCs/>
        </w:rPr>
        <w:t xml:space="preserve">IGE v HMRC </w:t>
      </w:r>
      <w:r w:rsidRPr="00CA49ED">
        <w:t xml:space="preserve">[2021] 3 WLR </w:t>
      </w:r>
      <w:proofErr w:type="gramStart"/>
      <w:r w:rsidRPr="00CA49ED">
        <w:t>313</w:t>
      </w:r>
      <w:r w:rsidR="0062537D">
        <w:t>;</w:t>
      </w:r>
      <w:proofErr w:type="gramEnd"/>
    </w:p>
    <w:p w14:paraId="77D7B2BB" w14:textId="296469A8" w:rsidR="00EB53ED" w:rsidRDefault="00CA49ED" w:rsidP="00EB53ED">
      <w:pPr>
        <w:pStyle w:val="ListParagraph"/>
        <w:numPr>
          <w:ilvl w:val="0"/>
          <w:numId w:val="2"/>
        </w:numPr>
        <w:spacing w:line="360" w:lineRule="auto"/>
        <w:ind w:left="567" w:hanging="567"/>
      </w:pPr>
      <w:r w:rsidRPr="0062537D">
        <w:rPr>
          <w:i/>
          <w:iCs/>
        </w:rPr>
        <w:t xml:space="preserve">Wong v Grand View Private Trust Company </w:t>
      </w:r>
      <w:r w:rsidRPr="00CA49ED">
        <w:t>(Bermuda CA, 2025</w:t>
      </w:r>
      <w:proofErr w:type="gramStart"/>
      <w:r w:rsidRPr="00CA49ED">
        <w:t>)</w:t>
      </w:r>
      <w:r w:rsidR="00872C34">
        <w:t>;</w:t>
      </w:r>
      <w:proofErr w:type="gramEnd"/>
    </w:p>
    <w:p w14:paraId="14D41C8D" w14:textId="77777777" w:rsidR="009346D2" w:rsidRPr="009346D2" w:rsidRDefault="009346D2" w:rsidP="009346D2">
      <w:pPr>
        <w:spacing w:line="360" w:lineRule="auto"/>
        <w:ind w:left="0" w:firstLine="0"/>
        <w:rPr>
          <w:b/>
          <w:bCs/>
          <w:u w:val="single"/>
        </w:rPr>
      </w:pPr>
      <w:r w:rsidRPr="009346D2">
        <w:rPr>
          <w:b/>
          <w:bCs/>
          <w:i/>
          <w:iCs/>
          <w:u w:val="single"/>
        </w:rPr>
        <w:t>Amendment without relating back to the date of issue of the claim form</w:t>
      </w:r>
    </w:p>
    <w:p w14:paraId="1BE564F3" w14:textId="714733F9" w:rsidR="009346D2" w:rsidRPr="009346D2" w:rsidRDefault="009346D2" w:rsidP="009346D2">
      <w:pPr>
        <w:pStyle w:val="ListParagraph"/>
        <w:numPr>
          <w:ilvl w:val="0"/>
          <w:numId w:val="2"/>
        </w:numPr>
        <w:spacing w:line="360" w:lineRule="auto"/>
        <w:ind w:left="567" w:hanging="567"/>
        <w:rPr>
          <w:i/>
          <w:iCs/>
        </w:rPr>
      </w:pPr>
      <w:r w:rsidRPr="009346D2">
        <w:rPr>
          <w:i/>
          <w:iCs/>
        </w:rPr>
        <w:t xml:space="preserve">Advanced Control Systems Inc v </w:t>
      </w:r>
      <w:proofErr w:type="spellStart"/>
      <w:r w:rsidRPr="009346D2">
        <w:rPr>
          <w:i/>
          <w:iCs/>
        </w:rPr>
        <w:t>Efacec</w:t>
      </w:r>
      <w:proofErr w:type="spellEnd"/>
      <w:r w:rsidRPr="009346D2">
        <w:rPr>
          <w:i/>
          <w:iCs/>
        </w:rPr>
        <w:t xml:space="preserve"> </w:t>
      </w:r>
      <w:proofErr w:type="spellStart"/>
      <w:r w:rsidRPr="009346D2">
        <w:rPr>
          <w:i/>
          <w:iCs/>
        </w:rPr>
        <w:t>Engenharia</w:t>
      </w:r>
      <w:proofErr w:type="spellEnd"/>
      <w:r w:rsidRPr="009346D2">
        <w:rPr>
          <w:i/>
          <w:iCs/>
        </w:rPr>
        <w:t xml:space="preserve"> E Sistemas SA </w:t>
      </w:r>
      <w:r w:rsidRPr="00872C34">
        <w:t>[2021] EWHC 914 (TCC) at [31]-[50</w:t>
      </w:r>
      <w:proofErr w:type="gramStart"/>
      <w:r w:rsidRPr="00872C34">
        <w:t>]</w:t>
      </w:r>
      <w:r w:rsidR="00872C34">
        <w:t>;</w:t>
      </w:r>
      <w:proofErr w:type="gramEnd"/>
    </w:p>
    <w:p w14:paraId="2089B334" w14:textId="4B7E2F33" w:rsidR="009346D2" w:rsidRPr="009346D2" w:rsidRDefault="009346D2" w:rsidP="009346D2">
      <w:pPr>
        <w:pStyle w:val="ListParagraph"/>
        <w:numPr>
          <w:ilvl w:val="0"/>
          <w:numId w:val="2"/>
        </w:numPr>
        <w:spacing w:line="360" w:lineRule="auto"/>
        <w:ind w:left="567" w:hanging="567"/>
        <w:rPr>
          <w:i/>
          <w:iCs/>
        </w:rPr>
      </w:pPr>
      <w:r w:rsidRPr="009346D2">
        <w:rPr>
          <w:i/>
          <w:iCs/>
        </w:rPr>
        <w:t xml:space="preserve">Duke of Sussex v News Group Newspapers Ltd </w:t>
      </w:r>
      <w:r w:rsidRPr="00872C34">
        <w:t>[2024] EWHC 1208 (Ch)</w:t>
      </w:r>
      <w:r w:rsidR="00872C34">
        <w:t>.</w:t>
      </w:r>
    </w:p>
    <w:p w14:paraId="685C5622" w14:textId="77777777" w:rsidR="009346D2" w:rsidRPr="00CA49ED" w:rsidRDefault="009346D2" w:rsidP="009346D2">
      <w:pPr>
        <w:pStyle w:val="ListParagraph"/>
        <w:spacing w:line="360" w:lineRule="auto"/>
        <w:ind w:left="567" w:firstLine="0"/>
      </w:pPr>
    </w:p>
    <w:p w14:paraId="6170AB88" w14:textId="77777777" w:rsidR="00A60519" w:rsidRPr="002D3E5A" w:rsidRDefault="00A60519" w:rsidP="00712778">
      <w:pPr>
        <w:spacing w:line="360" w:lineRule="auto"/>
        <w:ind w:left="0" w:firstLine="0"/>
      </w:pPr>
    </w:p>
    <w:sectPr w:rsidR="00A60519" w:rsidRPr="002D3E5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AE138" w14:textId="77777777" w:rsidR="009B333A" w:rsidRDefault="009B333A" w:rsidP="009B333A">
      <w:pPr>
        <w:spacing w:after="0"/>
      </w:pPr>
      <w:r>
        <w:separator/>
      </w:r>
    </w:p>
  </w:endnote>
  <w:endnote w:type="continuationSeparator" w:id="0">
    <w:p w14:paraId="15BD8FC3" w14:textId="77777777" w:rsidR="009B333A" w:rsidRDefault="009B333A" w:rsidP="009B33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113049"/>
      <w:docPartObj>
        <w:docPartGallery w:val="Page Numbers (Bottom of Page)"/>
        <w:docPartUnique/>
      </w:docPartObj>
    </w:sdtPr>
    <w:sdtEndPr>
      <w:rPr>
        <w:noProof/>
      </w:rPr>
    </w:sdtEndPr>
    <w:sdtContent>
      <w:p w14:paraId="7AA87E2D" w14:textId="5ACA1630" w:rsidR="009B333A" w:rsidRDefault="009B33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4A9999" w14:textId="77777777" w:rsidR="009B333A" w:rsidRDefault="009B3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66B9" w14:textId="77777777" w:rsidR="009B333A" w:rsidRDefault="009B333A" w:rsidP="009B333A">
      <w:pPr>
        <w:spacing w:after="0"/>
      </w:pPr>
      <w:r>
        <w:separator/>
      </w:r>
    </w:p>
  </w:footnote>
  <w:footnote w:type="continuationSeparator" w:id="0">
    <w:p w14:paraId="5453DFB1" w14:textId="77777777" w:rsidR="009B333A" w:rsidRDefault="009B333A" w:rsidP="009B33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6DB"/>
    <w:multiLevelType w:val="hybridMultilevel"/>
    <w:tmpl w:val="90A8F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D43535"/>
    <w:multiLevelType w:val="hybridMultilevel"/>
    <w:tmpl w:val="5BDC5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543C"/>
    <w:multiLevelType w:val="hybridMultilevel"/>
    <w:tmpl w:val="B14EA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3B4AF4"/>
    <w:multiLevelType w:val="hybridMultilevel"/>
    <w:tmpl w:val="6EAE884E"/>
    <w:lvl w:ilvl="0" w:tplc="B0EAA44A">
      <w:start w:val="1"/>
      <w:numFmt w:val="bullet"/>
      <w:lvlText w:val=""/>
      <w:lvlJc w:val="left"/>
      <w:pPr>
        <w:tabs>
          <w:tab w:val="num" w:pos="720"/>
        </w:tabs>
        <w:ind w:left="720" w:hanging="360"/>
      </w:pPr>
      <w:rPr>
        <w:rFonts w:ascii="Wingdings" w:hAnsi="Wingdings" w:hint="default"/>
      </w:rPr>
    </w:lvl>
    <w:lvl w:ilvl="1" w:tplc="5C8E26F2" w:tentative="1">
      <w:start w:val="1"/>
      <w:numFmt w:val="bullet"/>
      <w:lvlText w:val=""/>
      <w:lvlJc w:val="left"/>
      <w:pPr>
        <w:tabs>
          <w:tab w:val="num" w:pos="1440"/>
        </w:tabs>
        <w:ind w:left="1440" w:hanging="360"/>
      </w:pPr>
      <w:rPr>
        <w:rFonts w:ascii="Wingdings" w:hAnsi="Wingdings" w:hint="default"/>
      </w:rPr>
    </w:lvl>
    <w:lvl w:ilvl="2" w:tplc="7196EF54" w:tentative="1">
      <w:start w:val="1"/>
      <w:numFmt w:val="bullet"/>
      <w:lvlText w:val=""/>
      <w:lvlJc w:val="left"/>
      <w:pPr>
        <w:tabs>
          <w:tab w:val="num" w:pos="2160"/>
        </w:tabs>
        <w:ind w:left="2160" w:hanging="360"/>
      </w:pPr>
      <w:rPr>
        <w:rFonts w:ascii="Wingdings" w:hAnsi="Wingdings" w:hint="default"/>
      </w:rPr>
    </w:lvl>
    <w:lvl w:ilvl="3" w:tplc="1A349322" w:tentative="1">
      <w:start w:val="1"/>
      <w:numFmt w:val="bullet"/>
      <w:lvlText w:val=""/>
      <w:lvlJc w:val="left"/>
      <w:pPr>
        <w:tabs>
          <w:tab w:val="num" w:pos="2880"/>
        </w:tabs>
        <w:ind w:left="2880" w:hanging="360"/>
      </w:pPr>
      <w:rPr>
        <w:rFonts w:ascii="Wingdings" w:hAnsi="Wingdings" w:hint="default"/>
      </w:rPr>
    </w:lvl>
    <w:lvl w:ilvl="4" w:tplc="0F629988" w:tentative="1">
      <w:start w:val="1"/>
      <w:numFmt w:val="bullet"/>
      <w:lvlText w:val=""/>
      <w:lvlJc w:val="left"/>
      <w:pPr>
        <w:tabs>
          <w:tab w:val="num" w:pos="3600"/>
        </w:tabs>
        <w:ind w:left="3600" w:hanging="360"/>
      </w:pPr>
      <w:rPr>
        <w:rFonts w:ascii="Wingdings" w:hAnsi="Wingdings" w:hint="default"/>
      </w:rPr>
    </w:lvl>
    <w:lvl w:ilvl="5" w:tplc="6D84C46A" w:tentative="1">
      <w:start w:val="1"/>
      <w:numFmt w:val="bullet"/>
      <w:lvlText w:val=""/>
      <w:lvlJc w:val="left"/>
      <w:pPr>
        <w:tabs>
          <w:tab w:val="num" w:pos="4320"/>
        </w:tabs>
        <w:ind w:left="4320" w:hanging="360"/>
      </w:pPr>
      <w:rPr>
        <w:rFonts w:ascii="Wingdings" w:hAnsi="Wingdings" w:hint="default"/>
      </w:rPr>
    </w:lvl>
    <w:lvl w:ilvl="6" w:tplc="9648E408" w:tentative="1">
      <w:start w:val="1"/>
      <w:numFmt w:val="bullet"/>
      <w:lvlText w:val=""/>
      <w:lvlJc w:val="left"/>
      <w:pPr>
        <w:tabs>
          <w:tab w:val="num" w:pos="5040"/>
        </w:tabs>
        <w:ind w:left="5040" w:hanging="360"/>
      </w:pPr>
      <w:rPr>
        <w:rFonts w:ascii="Wingdings" w:hAnsi="Wingdings" w:hint="default"/>
      </w:rPr>
    </w:lvl>
    <w:lvl w:ilvl="7" w:tplc="A1B2B0D6" w:tentative="1">
      <w:start w:val="1"/>
      <w:numFmt w:val="bullet"/>
      <w:lvlText w:val=""/>
      <w:lvlJc w:val="left"/>
      <w:pPr>
        <w:tabs>
          <w:tab w:val="num" w:pos="5760"/>
        </w:tabs>
        <w:ind w:left="5760" w:hanging="360"/>
      </w:pPr>
      <w:rPr>
        <w:rFonts w:ascii="Wingdings" w:hAnsi="Wingdings" w:hint="default"/>
      </w:rPr>
    </w:lvl>
    <w:lvl w:ilvl="8" w:tplc="875A179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56216F"/>
    <w:multiLevelType w:val="hybridMultilevel"/>
    <w:tmpl w:val="F236BCD8"/>
    <w:lvl w:ilvl="0" w:tplc="51A2058A">
      <w:start w:val="1"/>
      <w:numFmt w:val="decimal"/>
      <w:lvlText w:val="%1."/>
      <w:lvlJc w:val="left"/>
      <w:pPr>
        <w:ind w:left="720"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2E2C8C"/>
    <w:multiLevelType w:val="hybridMultilevel"/>
    <w:tmpl w:val="B5C02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5A23CD"/>
    <w:multiLevelType w:val="hybridMultilevel"/>
    <w:tmpl w:val="547A3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5557E48"/>
    <w:multiLevelType w:val="hybridMultilevel"/>
    <w:tmpl w:val="B9E40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57057"/>
    <w:multiLevelType w:val="hybridMultilevel"/>
    <w:tmpl w:val="1EB42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1E22F3F"/>
    <w:multiLevelType w:val="hybridMultilevel"/>
    <w:tmpl w:val="7BF035BE"/>
    <w:lvl w:ilvl="0" w:tplc="19D6A220">
      <w:start w:val="1"/>
      <w:numFmt w:val="bullet"/>
      <w:lvlText w:val=""/>
      <w:lvlJc w:val="left"/>
      <w:pPr>
        <w:tabs>
          <w:tab w:val="num" w:pos="720"/>
        </w:tabs>
        <w:ind w:left="720" w:hanging="360"/>
      </w:pPr>
      <w:rPr>
        <w:rFonts w:ascii="Wingdings" w:hAnsi="Wingdings" w:hint="default"/>
      </w:rPr>
    </w:lvl>
    <w:lvl w:ilvl="1" w:tplc="25C8C1EE" w:tentative="1">
      <w:start w:val="1"/>
      <w:numFmt w:val="bullet"/>
      <w:lvlText w:val=""/>
      <w:lvlJc w:val="left"/>
      <w:pPr>
        <w:tabs>
          <w:tab w:val="num" w:pos="1440"/>
        </w:tabs>
        <w:ind w:left="1440" w:hanging="360"/>
      </w:pPr>
      <w:rPr>
        <w:rFonts w:ascii="Wingdings" w:hAnsi="Wingdings" w:hint="default"/>
      </w:rPr>
    </w:lvl>
    <w:lvl w:ilvl="2" w:tplc="416AFF18" w:tentative="1">
      <w:start w:val="1"/>
      <w:numFmt w:val="bullet"/>
      <w:lvlText w:val=""/>
      <w:lvlJc w:val="left"/>
      <w:pPr>
        <w:tabs>
          <w:tab w:val="num" w:pos="2160"/>
        </w:tabs>
        <w:ind w:left="2160" w:hanging="360"/>
      </w:pPr>
      <w:rPr>
        <w:rFonts w:ascii="Wingdings" w:hAnsi="Wingdings" w:hint="default"/>
      </w:rPr>
    </w:lvl>
    <w:lvl w:ilvl="3" w:tplc="CD245EB6" w:tentative="1">
      <w:start w:val="1"/>
      <w:numFmt w:val="bullet"/>
      <w:lvlText w:val=""/>
      <w:lvlJc w:val="left"/>
      <w:pPr>
        <w:tabs>
          <w:tab w:val="num" w:pos="2880"/>
        </w:tabs>
        <w:ind w:left="2880" w:hanging="360"/>
      </w:pPr>
      <w:rPr>
        <w:rFonts w:ascii="Wingdings" w:hAnsi="Wingdings" w:hint="default"/>
      </w:rPr>
    </w:lvl>
    <w:lvl w:ilvl="4" w:tplc="F104D6E8" w:tentative="1">
      <w:start w:val="1"/>
      <w:numFmt w:val="bullet"/>
      <w:lvlText w:val=""/>
      <w:lvlJc w:val="left"/>
      <w:pPr>
        <w:tabs>
          <w:tab w:val="num" w:pos="3600"/>
        </w:tabs>
        <w:ind w:left="3600" w:hanging="360"/>
      </w:pPr>
      <w:rPr>
        <w:rFonts w:ascii="Wingdings" w:hAnsi="Wingdings" w:hint="default"/>
      </w:rPr>
    </w:lvl>
    <w:lvl w:ilvl="5" w:tplc="F954CEBA" w:tentative="1">
      <w:start w:val="1"/>
      <w:numFmt w:val="bullet"/>
      <w:lvlText w:val=""/>
      <w:lvlJc w:val="left"/>
      <w:pPr>
        <w:tabs>
          <w:tab w:val="num" w:pos="4320"/>
        </w:tabs>
        <w:ind w:left="4320" w:hanging="360"/>
      </w:pPr>
      <w:rPr>
        <w:rFonts w:ascii="Wingdings" w:hAnsi="Wingdings" w:hint="default"/>
      </w:rPr>
    </w:lvl>
    <w:lvl w:ilvl="6" w:tplc="4AC6144E" w:tentative="1">
      <w:start w:val="1"/>
      <w:numFmt w:val="bullet"/>
      <w:lvlText w:val=""/>
      <w:lvlJc w:val="left"/>
      <w:pPr>
        <w:tabs>
          <w:tab w:val="num" w:pos="5040"/>
        </w:tabs>
        <w:ind w:left="5040" w:hanging="360"/>
      </w:pPr>
      <w:rPr>
        <w:rFonts w:ascii="Wingdings" w:hAnsi="Wingdings" w:hint="default"/>
      </w:rPr>
    </w:lvl>
    <w:lvl w:ilvl="7" w:tplc="3ED874DA" w:tentative="1">
      <w:start w:val="1"/>
      <w:numFmt w:val="bullet"/>
      <w:lvlText w:val=""/>
      <w:lvlJc w:val="left"/>
      <w:pPr>
        <w:tabs>
          <w:tab w:val="num" w:pos="5760"/>
        </w:tabs>
        <w:ind w:left="5760" w:hanging="360"/>
      </w:pPr>
      <w:rPr>
        <w:rFonts w:ascii="Wingdings" w:hAnsi="Wingdings" w:hint="default"/>
      </w:rPr>
    </w:lvl>
    <w:lvl w:ilvl="8" w:tplc="547A30D0" w:tentative="1">
      <w:start w:val="1"/>
      <w:numFmt w:val="bullet"/>
      <w:lvlText w:val=""/>
      <w:lvlJc w:val="left"/>
      <w:pPr>
        <w:tabs>
          <w:tab w:val="num" w:pos="6480"/>
        </w:tabs>
        <w:ind w:left="6480" w:hanging="360"/>
      </w:pPr>
      <w:rPr>
        <w:rFonts w:ascii="Wingdings" w:hAnsi="Wingdings" w:hint="default"/>
      </w:rPr>
    </w:lvl>
  </w:abstractNum>
  <w:num w:numId="1" w16cid:durableId="1056664527">
    <w:abstractNumId w:val="1"/>
  </w:num>
  <w:num w:numId="2" w16cid:durableId="1057244564">
    <w:abstractNumId w:val="4"/>
  </w:num>
  <w:num w:numId="3" w16cid:durableId="1015232938">
    <w:abstractNumId w:val="3"/>
  </w:num>
  <w:num w:numId="4" w16cid:durableId="1310986009">
    <w:abstractNumId w:val="0"/>
  </w:num>
  <w:num w:numId="5" w16cid:durableId="399643264">
    <w:abstractNumId w:val="8"/>
  </w:num>
  <w:num w:numId="6" w16cid:durableId="924149174">
    <w:abstractNumId w:val="5"/>
  </w:num>
  <w:num w:numId="7" w16cid:durableId="157817133">
    <w:abstractNumId w:val="6"/>
  </w:num>
  <w:num w:numId="8" w16cid:durableId="906843809">
    <w:abstractNumId w:val="2"/>
  </w:num>
  <w:num w:numId="9" w16cid:durableId="323513726">
    <w:abstractNumId w:val="9"/>
  </w:num>
  <w:num w:numId="10" w16cid:durableId="1209226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5A"/>
    <w:rsid w:val="00080D5E"/>
    <w:rsid w:val="00133633"/>
    <w:rsid w:val="00137F3B"/>
    <w:rsid w:val="001837AB"/>
    <w:rsid w:val="0019734F"/>
    <w:rsid w:val="001A6A07"/>
    <w:rsid w:val="001D25FD"/>
    <w:rsid w:val="001D2FF4"/>
    <w:rsid w:val="001E4260"/>
    <w:rsid w:val="00202D97"/>
    <w:rsid w:val="00231E51"/>
    <w:rsid w:val="00265B23"/>
    <w:rsid w:val="002D3E5A"/>
    <w:rsid w:val="00323154"/>
    <w:rsid w:val="00400CC5"/>
    <w:rsid w:val="0042684C"/>
    <w:rsid w:val="0052413F"/>
    <w:rsid w:val="00534AB7"/>
    <w:rsid w:val="00574ACF"/>
    <w:rsid w:val="005C2CC0"/>
    <w:rsid w:val="0062537D"/>
    <w:rsid w:val="006254EB"/>
    <w:rsid w:val="00642A04"/>
    <w:rsid w:val="006850B8"/>
    <w:rsid w:val="006A6B58"/>
    <w:rsid w:val="006C225B"/>
    <w:rsid w:val="00710673"/>
    <w:rsid w:val="00712778"/>
    <w:rsid w:val="007765C0"/>
    <w:rsid w:val="00796367"/>
    <w:rsid w:val="007970CB"/>
    <w:rsid w:val="007B2283"/>
    <w:rsid w:val="008131CE"/>
    <w:rsid w:val="00843CCF"/>
    <w:rsid w:val="008713DC"/>
    <w:rsid w:val="00872C34"/>
    <w:rsid w:val="008861E4"/>
    <w:rsid w:val="008C6108"/>
    <w:rsid w:val="009346D2"/>
    <w:rsid w:val="009B333A"/>
    <w:rsid w:val="009F7BC3"/>
    <w:rsid w:val="00A05ACB"/>
    <w:rsid w:val="00A27B82"/>
    <w:rsid w:val="00A27B9D"/>
    <w:rsid w:val="00A40A61"/>
    <w:rsid w:val="00A60519"/>
    <w:rsid w:val="00AA7453"/>
    <w:rsid w:val="00B96702"/>
    <w:rsid w:val="00BF3293"/>
    <w:rsid w:val="00C57DC5"/>
    <w:rsid w:val="00C62BCC"/>
    <w:rsid w:val="00C91640"/>
    <w:rsid w:val="00C92BFD"/>
    <w:rsid w:val="00CA49ED"/>
    <w:rsid w:val="00D047FD"/>
    <w:rsid w:val="00DB3B88"/>
    <w:rsid w:val="00DD637A"/>
    <w:rsid w:val="00E61999"/>
    <w:rsid w:val="00E752D8"/>
    <w:rsid w:val="00EB53ED"/>
    <w:rsid w:val="00F220EF"/>
    <w:rsid w:val="00F53AC8"/>
    <w:rsid w:val="00FE4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6588"/>
  <w15:chartTrackingRefBased/>
  <w15:docId w15:val="{AC16056D-6189-4BDB-8F7A-C6EEDF3A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after="160"/>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E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E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3E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3E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3E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3E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3E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E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E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3E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3E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3E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3E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3E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3E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E5A"/>
    <w:pPr>
      <w:numPr>
        <w:ilvl w:val="1"/>
      </w:numPr>
      <w:ind w:left="284" w:hanging="28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E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3E5A"/>
    <w:pPr>
      <w:spacing w:before="160"/>
      <w:jc w:val="center"/>
    </w:pPr>
    <w:rPr>
      <w:i/>
      <w:iCs/>
      <w:color w:val="404040" w:themeColor="text1" w:themeTint="BF"/>
    </w:rPr>
  </w:style>
  <w:style w:type="character" w:customStyle="1" w:styleId="QuoteChar">
    <w:name w:val="Quote Char"/>
    <w:basedOn w:val="DefaultParagraphFont"/>
    <w:link w:val="Quote"/>
    <w:uiPriority w:val="29"/>
    <w:rsid w:val="002D3E5A"/>
    <w:rPr>
      <w:i/>
      <w:iCs/>
      <w:color w:val="404040" w:themeColor="text1" w:themeTint="BF"/>
    </w:rPr>
  </w:style>
  <w:style w:type="paragraph" w:styleId="ListParagraph">
    <w:name w:val="List Paragraph"/>
    <w:basedOn w:val="Normal"/>
    <w:uiPriority w:val="34"/>
    <w:qFormat/>
    <w:rsid w:val="002D3E5A"/>
    <w:pPr>
      <w:ind w:left="720"/>
      <w:contextualSpacing/>
    </w:pPr>
  </w:style>
  <w:style w:type="character" w:styleId="IntenseEmphasis">
    <w:name w:val="Intense Emphasis"/>
    <w:basedOn w:val="DefaultParagraphFont"/>
    <w:uiPriority w:val="21"/>
    <w:qFormat/>
    <w:rsid w:val="002D3E5A"/>
    <w:rPr>
      <w:i/>
      <w:iCs/>
      <w:color w:val="0F4761" w:themeColor="accent1" w:themeShade="BF"/>
    </w:rPr>
  </w:style>
  <w:style w:type="paragraph" w:styleId="IntenseQuote">
    <w:name w:val="Intense Quote"/>
    <w:basedOn w:val="Normal"/>
    <w:next w:val="Normal"/>
    <w:link w:val="IntenseQuoteChar"/>
    <w:uiPriority w:val="30"/>
    <w:qFormat/>
    <w:rsid w:val="002D3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E5A"/>
    <w:rPr>
      <w:i/>
      <w:iCs/>
      <w:color w:val="0F4761" w:themeColor="accent1" w:themeShade="BF"/>
    </w:rPr>
  </w:style>
  <w:style w:type="character" w:styleId="IntenseReference">
    <w:name w:val="Intense Reference"/>
    <w:basedOn w:val="DefaultParagraphFont"/>
    <w:uiPriority w:val="32"/>
    <w:qFormat/>
    <w:rsid w:val="002D3E5A"/>
    <w:rPr>
      <w:b/>
      <w:bCs/>
      <w:smallCaps/>
      <w:color w:val="0F4761" w:themeColor="accent1" w:themeShade="BF"/>
      <w:spacing w:val="5"/>
    </w:rPr>
  </w:style>
  <w:style w:type="paragraph" w:customStyle="1" w:styleId="Default">
    <w:name w:val="Default"/>
    <w:rsid w:val="001837AB"/>
    <w:pPr>
      <w:autoSpaceDE w:val="0"/>
      <w:autoSpaceDN w:val="0"/>
      <w:adjustRightInd w:val="0"/>
      <w:spacing w:after="0"/>
      <w:ind w:left="0" w:firstLine="0"/>
      <w:jc w:val="left"/>
    </w:pPr>
    <w:rPr>
      <w:color w:val="000000"/>
    </w:rPr>
  </w:style>
  <w:style w:type="paragraph" w:styleId="Header">
    <w:name w:val="header"/>
    <w:basedOn w:val="Normal"/>
    <w:link w:val="HeaderChar"/>
    <w:uiPriority w:val="99"/>
    <w:unhideWhenUsed/>
    <w:rsid w:val="009B333A"/>
    <w:pPr>
      <w:tabs>
        <w:tab w:val="center" w:pos="4513"/>
        <w:tab w:val="right" w:pos="9026"/>
      </w:tabs>
      <w:spacing w:after="0"/>
    </w:pPr>
  </w:style>
  <w:style w:type="character" w:customStyle="1" w:styleId="HeaderChar">
    <w:name w:val="Header Char"/>
    <w:basedOn w:val="DefaultParagraphFont"/>
    <w:link w:val="Header"/>
    <w:uiPriority w:val="99"/>
    <w:rsid w:val="009B333A"/>
  </w:style>
  <w:style w:type="paragraph" w:styleId="Footer">
    <w:name w:val="footer"/>
    <w:basedOn w:val="Normal"/>
    <w:link w:val="FooterChar"/>
    <w:uiPriority w:val="99"/>
    <w:unhideWhenUsed/>
    <w:rsid w:val="009B333A"/>
    <w:pPr>
      <w:tabs>
        <w:tab w:val="center" w:pos="4513"/>
        <w:tab w:val="right" w:pos="9026"/>
      </w:tabs>
      <w:spacing w:after="0"/>
    </w:pPr>
  </w:style>
  <w:style w:type="character" w:customStyle="1" w:styleId="FooterChar">
    <w:name w:val="Footer Char"/>
    <w:basedOn w:val="DefaultParagraphFont"/>
    <w:link w:val="Footer"/>
    <w:uiPriority w:val="99"/>
    <w:rsid w:val="009B333A"/>
  </w:style>
  <w:style w:type="character" w:styleId="Hyperlink">
    <w:name w:val="Hyperlink"/>
    <w:basedOn w:val="DefaultParagraphFont"/>
    <w:uiPriority w:val="99"/>
    <w:unhideWhenUsed/>
    <w:rsid w:val="00133633"/>
    <w:rPr>
      <w:color w:val="467886" w:themeColor="hyperlink"/>
      <w:u w:val="single"/>
    </w:rPr>
  </w:style>
  <w:style w:type="character" w:styleId="UnresolvedMention">
    <w:name w:val="Unresolved Mention"/>
    <w:basedOn w:val="DefaultParagraphFont"/>
    <w:uiPriority w:val="99"/>
    <w:semiHidden/>
    <w:unhideWhenUsed/>
    <w:rsid w:val="00133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Weale</dc:creator>
  <cp:keywords/>
  <dc:description/>
  <cp:lastModifiedBy>James Weale</cp:lastModifiedBy>
  <cp:revision>4</cp:revision>
  <cp:lastPrinted>2025-11-07T13:57:00Z</cp:lastPrinted>
  <dcterms:created xsi:type="dcterms:W3CDTF">2025-11-17T17:11:00Z</dcterms:created>
  <dcterms:modified xsi:type="dcterms:W3CDTF">2025-11-17T17:12:00Z</dcterms:modified>
</cp:coreProperties>
</file>