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EC89D0" w14:textId="2F64FA84" w:rsidR="00502756" w:rsidRPr="001E5FAF" w:rsidRDefault="00502756" w:rsidP="00092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1E5FAF">
        <w:rPr>
          <w:rStyle w:val="eop"/>
          <w:rFonts w:ascii="Arial" w:hAnsi="Arial" w:cs="Arial"/>
          <w:color w:val="3B3838" w:themeColor="background2" w:themeShade="40"/>
        </w:rPr>
        <w:t> </w:t>
      </w:r>
    </w:p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210E01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JONATHAN MCDONAGH</w:t>
      </w:r>
    </w:p>
    <w:p w14:paraId="20231DFF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428D1C" w14:textId="77777777" w:rsidR="00B37126" w:rsidRPr="009821D0" w:rsidRDefault="00B37126" w:rsidP="00B371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bdr w:val="nil"/>
        </w:rPr>
      </w:pPr>
      <w:r w:rsidRPr="009821D0">
        <w:rPr>
          <w:rFonts w:ascii="Arial" w:eastAsia="Arial Unicode MS" w:hAnsi="Arial" w:cs="Arial"/>
          <w:b/>
          <w:bCs/>
          <w:sz w:val="24"/>
          <w:szCs w:val="24"/>
          <w:bdr w:val="nil"/>
        </w:rPr>
        <w:t>SERLE COURT, 6 NEW SQUARE, LINCOLN’S INN, LONDON, WC2A 3QS</w:t>
      </w:r>
    </w:p>
    <w:p w14:paraId="5A2C6454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11DFC7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CC2B965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ICO REGISTRATION NUMBER: Z3359943</w:t>
      </w:r>
    </w:p>
    <w:p w14:paraId="054F4B4F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E08D3AA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AD02EA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Policy became operational on: 1 OCTOBER 2022</w:t>
      </w:r>
      <w:r>
        <w:rPr>
          <w:rStyle w:val="eop"/>
          <w:rFonts w:ascii="Arial" w:hAnsi="Arial" w:cs="Arial"/>
        </w:rPr>
        <w:t> </w:t>
      </w:r>
    </w:p>
    <w:p w14:paraId="5F55A2E6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572DDD" w14:textId="77777777" w:rsidR="00B37126" w:rsidRDefault="00B37126" w:rsidP="00B371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Next review date: 30 SEPTEMBER 2023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1E55F04A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44DD4" w:rsidRPr="00C96719">
        <w:rPr>
          <w:rStyle w:val="normaltextrun"/>
          <w:rFonts w:ascii="Arial" w:hAnsi="Arial" w:cs="Arial"/>
        </w:rPr>
        <w:t xml:space="preserve">reasonable and proportionate </w:t>
      </w:r>
      <w:r w:rsidRPr="00C96719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C96719">
        <w:rPr>
          <w:rStyle w:val="eop"/>
          <w:rFonts w:ascii="Arial" w:hAnsi="Arial" w:cs="Arial"/>
        </w:rPr>
        <w:t> </w:t>
      </w:r>
    </w:p>
    <w:p w14:paraId="25E820B2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53B133F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65E35C5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3446F43" w14:textId="444483DC" w:rsidR="00502756" w:rsidRDefault="00502756" w:rsidP="00C52B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C96719">
        <w:rPr>
          <w:rStyle w:val="normaltextrun"/>
          <w:rFonts w:ascii="Arial" w:hAnsi="Arial" w:cs="Arial"/>
        </w:rPr>
        <w:t xml:space="preserve">I, </w:t>
      </w:r>
      <w:r w:rsidR="00C52BE2">
        <w:rPr>
          <w:rStyle w:val="normaltextrun"/>
          <w:rFonts w:ascii="Arial" w:hAnsi="Arial" w:cs="Arial"/>
        </w:rPr>
        <w:t>Jonathan McDonagh,</w:t>
      </w:r>
      <w:r w:rsidRPr="00C96719">
        <w:rPr>
          <w:rStyle w:val="normaltextrun"/>
          <w:rFonts w:ascii="Arial" w:hAnsi="Arial" w:cs="Arial"/>
        </w:rPr>
        <w:t xml:space="preserve"> am a member of </w:t>
      </w:r>
      <w:r w:rsidR="00944DD4" w:rsidRPr="00C96719">
        <w:rPr>
          <w:rStyle w:val="normaltextrun"/>
          <w:rFonts w:ascii="Arial" w:hAnsi="Arial" w:cs="Arial"/>
        </w:rPr>
        <w:t>Serle Court</w:t>
      </w:r>
      <w:r w:rsidRPr="00C96719">
        <w:rPr>
          <w:rStyle w:val="normaltextrun"/>
          <w:rFonts w:ascii="Arial" w:hAnsi="Arial" w:cs="Arial"/>
        </w:rPr>
        <w:t>.</w:t>
      </w:r>
      <w:r w:rsidRPr="00C96719">
        <w:rPr>
          <w:rStyle w:val="normaltextrun"/>
          <w:rFonts w:ascii="Arial" w:hAnsi="Arial" w:cs="Arial"/>
          <w:u w:val="single"/>
        </w:rPr>
        <w:t> </w:t>
      </w:r>
      <w:r w:rsidRPr="00C96719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44DD4" w:rsidRPr="00C96719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C96719">
        <w:rPr>
          <w:rStyle w:val="normaltextrun"/>
          <w:rFonts w:ascii="Arial" w:hAnsi="Arial" w:cs="Arial"/>
        </w:rPr>
        <w:t xml:space="preserve">and my ICO registration number is </w:t>
      </w:r>
      <w:r w:rsidR="00C52BE2">
        <w:rPr>
          <w:rStyle w:val="normaltextrun"/>
          <w:rFonts w:ascii="Arial" w:hAnsi="Arial" w:cs="Arial"/>
        </w:rPr>
        <w:t>Z3359943.</w:t>
      </w:r>
      <w:r w:rsidRPr="00C96719">
        <w:rPr>
          <w:rStyle w:val="normaltextrun"/>
          <w:rFonts w:ascii="Arial" w:hAnsi="Arial" w:cs="Arial"/>
        </w:rPr>
        <w:t xml:space="preserve"> If you need to contact me about your data or this privacy notice, you can reach me at </w:t>
      </w:r>
      <w:hyperlink r:id="rId10" w:history="1">
        <w:r w:rsidR="00C52BE2" w:rsidRPr="00A2677F">
          <w:rPr>
            <w:rStyle w:val="Hyperlink"/>
            <w:rFonts w:ascii="Arial" w:hAnsi="Arial" w:cs="Arial"/>
          </w:rPr>
          <w:t>jmcdonagh@serlecourt.co.uk</w:t>
        </w:r>
      </w:hyperlink>
      <w:r w:rsidR="00C52BE2">
        <w:rPr>
          <w:rStyle w:val="normaltextrun"/>
          <w:rFonts w:ascii="Arial" w:hAnsi="Arial" w:cs="Arial"/>
        </w:rPr>
        <w:t>.</w:t>
      </w:r>
    </w:p>
    <w:p w14:paraId="4720FA0B" w14:textId="77777777" w:rsidR="00C52BE2" w:rsidRPr="00C96719" w:rsidRDefault="00C52BE2" w:rsidP="00C52B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6D0B58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39591D0B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764712E" w14:textId="0E38C93F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color w:val="000000"/>
        </w:rPr>
        <w:t>The vast majority</w:t>
      </w:r>
      <w:r w:rsidR="00D251C0" w:rsidRPr="00C96719">
        <w:rPr>
          <w:rStyle w:val="normaltextrun"/>
          <w:rFonts w:ascii="Arial" w:hAnsi="Arial" w:cs="Arial"/>
          <w:color w:val="000000"/>
        </w:rPr>
        <w:t xml:space="preserve"> of</w:t>
      </w:r>
      <w:r w:rsidRPr="00C9671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C96719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C96719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C96719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C96719">
        <w:rPr>
          <w:rStyle w:val="eop"/>
          <w:rFonts w:ascii="Arial" w:hAnsi="Arial" w:cs="Arial"/>
        </w:rPr>
        <w:t> </w:t>
      </w:r>
    </w:p>
    <w:p w14:paraId="3356B2D3" w14:textId="77777777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314750B" w14:textId="338D39EC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474A56DB" w:rsidR="00741A3D" w:rsidRPr="00166BAE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09F2DA0A" w14:textId="4D286170" w:rsidR="00166BAE" w:rsidRPr="00C96719" w:rsidRDefault="00166BAE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1ACA4BF" w14:textId="634D67E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980766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09C6A994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624635">
        <w:rPr>
          <w:rStyle w:val="normaltextrun"/>
          <w:rFonts w:ascii="Arial" w:hAnsi="Arial" w:cs="Arial"/>
        </w:rPr>
        <w:t xml:space="preserve">UK </w:t>
      </w:r>
      <w:r w:rsidR="00624635" w:rsidRPr="00653FD8">
        <w:rPr>
          <w:rStyle w:val="normaltextrun"/>
          <w:rFonts w:ascii="Arial" w:hAnsi="Arial" w:cs="Arial"/>
        </w:rPr>
        <w:t>General Data Protection Regulation (the</w:t>
      </w:r>
      <w:r w:rsidR="00624635">
        <w:rPr>
          <w:rStyle w:val="normaltextrun"/>
          <w:rFonts w:ascii="Arial" w:hAnsi="Arial" w:cs="Arial"/>
          <w:color w:val="000000"/>
        </w:rPr>
        <w:t xml:space="preserve">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</w:t>
      </w:r>
      <w:r w:rsidR="00624635">
        <w:rPr>
          <w:rStyle w:val="normaltextrun"/>
          <w:rFonts w:ascii="Arial" w:hAnsi="Arial" w:cs="Arial"/>
          <w:color w:val="000000"/>
        </w:rPr>
        <w:t>)</w:t>
      </w:r>
      <w:r>
        <w:rPr>
          <w:rStyle w:val="normaltextrun"/>
          <w:rFonts w:ascii="Arial" w:hAnsi="Arial" w:cs="Arial"/>
          <w:color w:val="000000"/>
        </w:rPr>
        <w:t>. This may include</w:t>
      </w:r>
      <w:r w:rsidR="00C96719">
        <w:rPr>
          <w:rStyle w:val="normaltextrun"/>
          <w:rFonts w:ascii="Arial" w:hAnsi="Arial" w:cs="Arial"/>
          <w:color w:val="000000"/>
        </w:rPr>
        <w:t>,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1531F0D3" w:rsidR="00A93ECD" w:rsidRPr="00166BAE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37F07A56" w14:textId="77134528" w:rsidR="00624635" w:rsidRDefault="00624635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Other personal data relevant to instructions to provide legal services, including data specific to the instructions in question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4BF3E9E0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74938E" w14:textId="02609EEA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4D316B2C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40728477" w:rsidR="003F7B02" w:rsidRPr="003F7B0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lastRenderedPageBreak/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>where this </w:t>
      </w:r>
      <w:r w:rsidR="00C96719">
        <w:rPr>
          <w:rStyle w:val="normaltextrun"/>
          <w:rFonts w:ascii="Arial" w:hAnsi="Arial" w:cs="Arial"/>
          <w:color w:val="000000"/>
        </w:rPr>
        <w:t>applies</w:t>
      </w:r>
      <w:r w:rsidRPr="00FB5155">
        <w:rPr>
          <w:rStyle w:val="normaltextrun"/>
          <w:rFonts w:ascii="Arial" w:hAnsi="Arial" w:cs="Arial"/>
          <w:color w:val="000000"/>
        </w:rPr>
        <w:t xml:space="preserve">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04508D32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094959D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214560FA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p</w:t>
      </w:r>
      <w:r w:rsidR="00AB3E54">
        <w:rPr>
          <w:rStyle w:val="normaltextrun"/>
          <w:rFonts w:ascii="Arial" w:hAnsi="Arial" w:cs="Arial"/>
          <w:color w:val="000000"/>
        </w:rPr>
        <w:t>rovide legal advice and representation;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55DD4D41" w14:textId="7DA617EE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training pupils and mini pupils;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5E9A283" w14:textId="67F0FFBE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and address your concerns;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F0C44A6" w14:textId="239006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with you about news, updates and events;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64B24B9A" w14:textId="675BD3FC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law;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70B2EBC" w14:textId="43A465C7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</w:t>
      </w:r>
      <w:r w:rsidR="00AB3E54">
        <w:rPr>
          <w:rStyle w:val="normaltextrun"/>
          <w:rFonts w:ascii="Arial" w:hAnsi="Arial" w:cs="Arial"/>
          <w:color w:val="000000"/>
        </w:rPr>
        <w:t xml:space="preserve">ake </w:t>
      </w:r>
      <w:r>
        <w:rPr>
          <w:rStyle w:val="normaltextrun"/>
          <w:rFonts w:ascii="Arial" w:hAnsi="Arial" w:cs="Arial"/>
          <w:color w:val="000000"/>
        </w:rPr>
        <w:t xml:space="preserve">such </w:t>
      </w:r>
      <w:r w:rsidR="00AB3E54">
        <w:rPr>
          <w:rStyle w:val="normaltextrun"/>
          <w:rFonts w:ascii="Arial" w:hAnsi="Arial" w:cs="Arial"/>
          <w:color w:val="000000"/>
        </w:rPr>
        <w:t xml:space="preserve">returns as </w:t>
      </w:r>
      <w:r>
        <w:rPr>
          <w:rStyle w:val="normaltextrun"/>
          <w:rFonts w:ascii="Arial" w:hAnsi="Arial" w:cs="Arial"/>
          <w:color w:val="000000"/>
        </w:rPr>
        <w:t xml:space="preserve">may be </w:t>
      </w:r>
      <w:r w:rsidR="00AB3E54">
        <w:rPr>
          <w:rStyle w:val="normaltextrun"/>
          <w:rFonts w:ascii="Arial" w:hAnsi="Arial" w:cs="Arial"/>
          <w:color w:val="000000"/>
        </w:rPr>
        <w:t>required by </w:t>
      </w:r>
      <w:r>
        <w:rPr>
          <w:rStyle w:val="normaltextrun"/>
          <w:rFonts w:ascii="Arial" w:hAnsi="Arial" w:cs="Arial"/>
          <w:color w:val="000000"/>
        </w:rPr>
        <w:t>HMRC or professional indemnity insurers</w:t>
      </w:r>
      <w:r w:rsidR="00AB3E54">
        <w:rPr>
          <w:rStyle w:val="normaltextrun"/>
          <w:rFonts w:ascii="Arial" w:hAnsi="Arial" w:cs="Arial"/>
          <w:color w:val="000000"/>
        </w:rPr>
        <w:t>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14E169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tendering or panel membership applications;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47C8DCD9" w14:textId="269EBD6E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progression;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FCD48DF" w14:textId="32D5DA50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legal updates and judgments to other legal professionals;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24DBEEB5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 w:rsidR="00C96719">
        <w:rPr>
          <w:rStyle w:val="normaltextrun"/>
          <w:rFonts w:ascii="Arial" w:hAnsi="Arial" w:cs="Arial"/>
          <w:color w:val="000000"/>
        </w:rPr>
        <w:t>s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5124EF20" w:rsidR="00AB3E54" w:rsidRDefault="00C96719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>
        <w:rPr>
          <w:rStyle w:val="normaltextrun"/>
          <w:rFonts w:ascii="Arial" w:hAnsi="Arial" w:cs="Arial"/>
          <w:color w:val="000000"/>
        </w:rPr>
        <w:t>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892713D" w14:textId="4B1C9E0C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</w:t>
      </w:r>
      <w:r w:rsidR="00C9671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10F68415" w:rsidR="00F14795" w:rsidRDefault="003430BF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>
        <w:rPr>
          <w:rStyle w:val="normaltextrun"/>
          <w:rFonts w:ascii="Arial" w:hAnsi="Arial" w:cs="Arial"/>
          <w:color w:val="000000"/>
        </w:rPr>
        <w:t>for the purposes of resolving the case</w:t>
      </w:r>
      <w:r>
        <w:rPr>
          <w:rStyle w:val="normaltextrun"/>
          <w:rFonts w:ascii="Arial" w:hAnsi="Arial" w:cs="Arial"/>
          <w:color w:val="000000"/>
        </w:rPr>
        <w:t xml:space="preserve"> or 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r w:rsidR="00F14795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166BAE" w:rsidRDefault="003430BF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My professional indemnity insurers and/or their legal advisers, in the event of a dispute or complaint;</w:t>
      </w:r>
    </w:p>
    <w:p w14:paraId="28F3295A" w14:textId="66E1EFCA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F21038" w14:textId="19C6EF0C" w:rsidR="008902AC" w:rsidRPr="000558E7" w:rsidRDefault="0072078A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I</w:t>
      </w:r>
      <w:r w:rsidR="008902AC" w:rsidRPr="000558E7">
        <w:rPr>
          <w:rFonts w:ascii="Arial" w:hAnsi="Arial" w:cs="Arial"/>
        </w:rPr>
        <w:t xml:space="preserve"> may transfer </w:t>
      </w:r>
      <w:r w:rsidRPr="000558E7">
        <w:rPr>
          <w:rFonts w:ascii="Arial" w:hAnsi="Arial" w:cs="Arial"/>
        </w:rPr>
        <w:t xml:space="preserve">your </w:t>
      </w:r>
      <w:r w:rsidR="008902AC" w:rsidRPr="000558E7">
        <w:rPr>
          <w:rFonts w:ascii="Arial" w:hAnsi="Arial" w:cs="Arial"/>
        </w:rPr>
        <w:t>personal data to a third country or international organisation where:</w:t>
      </w:r>
    </w:p>
    <w:p w14:paraId="6B64E21F" w14:textId="20EA292B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country or recipient is within the EU or covered by an adequacy decision of the Commission </w:t>
      </w:r>
    </w:p>
    <w:p w14:paraId="1843BECB" w14:textId="2F551969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4CC7C289" w14:textId="486A4F71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for the establishment, exercise or defence of legal claims;</w:t>
      </w:r>
    </w:p>
    <w:p w14:paraId="267ECFB2" w14:textId="57DDF3E5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0558E7" w:rsidRDefault="008902AC" w:rsidP="00166BAE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of a limited nature, and is necessary for the purpose of my compelling legitimate interests.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4D3EFF3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D4858E0" w:rsidR="00FE5B5D" w:rsidRPr="00166BAE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I will typically retain case files for a period of 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759D5C43" w:rsidR="00FE5B5D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  <w:r w:rsidR="000B5D38">
        <w:rPr>
          <w:rStyle w:val="eop"/>
          <w:rFonts w:ascii="Arial" w:hAnsi="Arial" w:cs="Arial"/>
        </w:rPr>
        <w:t>and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7D405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0C89BEBB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C52BE2">
        <w:rPr>
          <w:rStyle w:val="normaltextrun"/>
          <w:rFonts w:ascii="Arial" w:hAnsi="Arial" w:cs="Arial"/>
          <w:color w:val="000000"/>
        </w:rPr>
        <w:t>jmcdonagh@serlecourt.co.uk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248E695" w14:textId="3B388FCF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7EE1C9D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E95F2B" w14:textId="38439373" w:rsidR="005D68A3" w:rsidRPr="00073088" w:rsidRDefault="005D68A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Hlk100655506"/>
      <w:r w:rsidRPr="00073088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5DC9658A" w14:textId="77777777" w:rsidR="005D68A3" w:rsidRDefault="005D68A3" w:rsidP="00502756">
      <w:pPr>
        <w:pStyle w:val="paragraph"/>
        <w:spacing w:before="0" w:beforeAutospacing="0" w:after="0" w:afterAutospacing="0"/>
        <w:jc w:val="both"/>
        <w:textAlignment w:val="baseline"/>
      </w:pPr>
    </w:p>
    <w:p w14:paraId="342D92A2" w14:textId="3B8A0B9E" w:rsidR="00502756" w:rsidRPr="00073088" w:rsidRDefault="005D68A3" w:rsidP="000730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073088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="00502756" w:rsidRPr="00073088">
        <w:rPr>
          <w:rStyle w:val="normaltextrun"/>
        </w:rPr>
        <w:t> </w:t>
      </w:r>
    </w:p>
    <w:bookmarkEnd w:id="0"/>
    <w:p w14:paraId="2C078E63" w14:textId="77777777" w:rsidR="00785157" w:rsidRPr="00073088" w:rsidRDefault="00785157">
      <w:pPr>
        <w:rPr>
          <w:rStyle w:val="normaltextrun"/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sectPr w:rsidR="00785157" w:rsidRPr="0007308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B64B" w14:textId="77777777" w:rsidR="0078416B" w:rsidRDefault="0078416B" w:rsidP="00DA6C60">
      <w:pPr>
        <w:spacing w:after="0" w:line="240" w:lineRule="auto"/>
      </w:pPr>
      <w:r>
        <w:separator/>
      </w:r>
    </w:p>
  </w:endnote>
  <w:endnote w:type="continuationSeparator" w:id="0">
    <w:p w14:paraId="4E67A513" w14:textId="77777777" w:rsidR="0078416B" w:rsidRDefault="0078416B" w:rsidP="00DA6C60">
      <w:pPr>
        <w:spacing w:after="0" w:line="240" w:lineRule="auto"/>
      </w:pPr>
      <w:r>
        <w:continuationSeparator/>
      </w:r>
    </w:p>
  </w:endnote>
  <w:endnote w:type="continuationNotice" w:id="1">
    <w:p w14:paraId="72DC68CE" w14:textId="77777777" w:rsidR="0078416B" w:rsidRDefault="00784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D434" w14:textId="77777777" w:rsidR="000558E7" w:rsidRPr="000558E7" w:rsidRDefault="000558E7">
    <w:pPr>
      <w:pStyle w:val="Footer"/>
      <w:jc w:val="center"/>
      <w:rPr>
        <w:caps/>
        <w:noProof/>
      </w:rPr>
    </w:pPr>
    <w:r w:rsidRPr="000558E7">
      <w:rPr>
        <w:caps/>
      </w:rPr>
      <w:fldChar w:fldCharType="begin"/>
    </w:r>
    <w:r w:rsidRPr="000558E7">
      <w:rPr>
        <w:caps/>
      </w:rPr>
      <w:instrText xml:space="preserve"> PAGE   \* MERGEFORMAT </w:instrText>
    </w:r>
    <w:r w:rsidRPr="000558E7">
      <w:rPr>
        <w:caps/>
      </w:rPr>
      <w:fldChar w:fldCharType="separate"/>
    </w:r>
    <w:r w:rsidRPr="000558E7">
      <w:rPr>
        <w:caps/>
        <w:noProof/>
      </w:rPr>
      <w:t>2</w:t>
    </w:r>
    <w:r w:rsidRPr="000558E7">
      <w:rPr>
        <w:caps/>
        <w:noProof/>
      </w:rPr>
      <w:fldChar w:fldCharType="end"/>
    </w:r>
  </w:p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0E0D" w14:textId="77777777" w:rsidR="0078416B" w:rsidRDefault="0078416B" w:rsidP="00DA6C60">
      <w:pPr>
        <w:spacing w:after="0" w:line="240" w:lineRule="auto"/>
      </w:pPr>
      <w:r>
        <w:separator/>
      </w:r>
    </w:p>
  </w:footnote>
  <w:footnote w:type="continuationSeparator" w:id="0">
    <w:p w14:paraId="5D5C3255" w14:textId="77777777" w:rsidR="0078416B" w:rsidRDefault="0078416B" w:rsidP="00DA6C60">
      <w:pPr>
        <w:spacing w:after="0" w:line="240" w:lineRule="auto"/>
      </w:pPr>
      <w:r>
        <w:continuationSeparator/>
      </w:r>
    </w:p>
  </w:footnote>
  <w:footnote w:type="continuationNotice" w:id="1">
    <w:p w14:paraId="6C69BFFD" w14:textId="77777777" w:rsidR="0078416B" w:rsidRDefault="00784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1AA3" w14:textId="5B6F1C6A" w:rsidR="00DA6C60" w:rsidRDefault="00BC1E70" w:rsidP="00BC1E70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</w:p>
  <w:p w14:paraId="1D18A691" w14:textId="162BF59A" w:rsidR="00DA6C60" w:rsidRDefault="00166BAE">
    <w:pPr>
      <w:pStyle w:val="Header"/>
    </w:pPr>
    <w:r>
      <w:rPr>
        <w:noProof/>
      </w:rPr>
      <w:drawing>
        <wp:inline distT="0" distB="0" distL="0" distR="0" wp14:anchorId="644DF0B0" wp14:editId="1D178128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DA8E" w14:textId="77777777" w:rsidR="00166BAE" w:rsidRDefault="0016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85723">
    <w:abstractNumId w:val="7"/>
  </w:num>
  <w:num w:numId="2" w16cid:durableId="1627390772">
    <w:abstractNumId w:val="10"/>
  </w:num>
  <w:num w:numId="3" w16cid:durableId="998800828">
    <w:abstractNumId w:val="20"/>
  </w:num>
  <w:num w:numId="4" w16cid:durableId="421993861">
    <w:abstractNumId w:val="29"/>
  </w:num>
  <w:num w:numId="5" w16cid:durableId="1406801082">
    <w:abstractNumId w:val="0"/>
  </w:num>
  <w:num w:numId="6" w16cid:durableId="919606133">
    <w:abstractNumId w:val="37"/>
  </w:num>
  <w:num w:numId="7" w16cid:durableId="710346058">
    <w:abstractNumId w:val="1"/>
  </w:num>
  <w:num w:numId="8" w16cid:durableId="148333040">
    <w:abstractNumId w:val="19"/>
  </w:num>
  <w:num w:numId="9" w16cid:durableId="405960031">
    <w:abstractNumId w:val="25"/>
  </w:num>
  <w:num w:numId="10" w16cid:durableId="481314541">
    <w:abstractNumId w:val="40"/>
  </w:num>
  <w:num w:numId="11" w16cid:durableId="1044906965">
    <w:abstractNumId w:val="34"/>
  </w:num>
  <w:num w:numId="12" w16cid:durableId="918447760">
    <w:abstractNumId w:val="17"/>
  </w:num>
  <w:num w:numId="13" w16cid:durableId="203756954">
    <w:abstractNumId w:val="5"/>
  </w:num>
  <w:num w:numId="14" w16cid:durableId="1350328994">
    <w:abstractNumId w:val="15"/>
  </w:num>
  <w:num w:numId="15" w16cid:durableId="14429329">
    <w:abstractNumId w:val="23"/>
  </w:num>
  <w:num w:numId="16" w16cid:durableId="144712551">
    <w:abstractNumId w:val="28"/>
  </w:num>
  <w:num w:numId="17" w16cid:durableId="1267884059">
    <w:abstractNumId w:val="39"/>
  </w:num>
  <w:num w:numId="18" w16cid:durableId="562905991">
    <w:abstractNumId w:val="36"/>
  </w:num>
  <w:num w:numId="19" w16cid:durableId="1150558189">
    <w:abstractNumId w:val="4"/>
  </w:num>
  <w:num w:numId="20" w16cid:durableId="780800327">
    <w:abstractNumId w:val="21"/>
  </w:num>
  <w:num w:numId="21" w16cid:durableId="1141144804">
    <w:abstractNumId w:val="18"/>
  </w:num>
  <w:num w:numId="22" w16cid:durableId="1501385883">
    <w:abstractNumId w:val="32"/>
  </w:num>
  <w:num w:numId="23" w16cid:durableId="1916931407">
    <w:abstractNumId w:val="22"/>
  </w:num>
  <w:num w:numId="24" w16cid:durableId="1106658676">
    <w:abstractNumId w:val="14"/>
  </w:num>
  <w:num w:numId="25" w16cid:durableId="540746856">
    <w:abstractNumId w:val="6"/>
  </w:num>
  <w:num w:numId="26" w16cid:durableId="387192366">
    <w:abstractNumId w:val="27"/>
  </w:num>
  <w:num w:numId="27" w16cid:durableId="1099759909">
    <w:abstractNumId w:val="16"/>
  </w:num>
  <w:num w:numId="28" w16cid:durableId="686296462">
    <w:abstractNumId w:val="11"/>
  </w:num>
  <w:num w:numId="29" w16cid:durableId="1130172278">
    <w:abstractNumId w:val="31"/>
  </w:num>
  <w:num w:numId="30" w16cid:durableId="1726029694">
    <w:abstractNumId w:val="12"/>
  </w:num>
  <w:num w:numId="31" w16cid:durableId="301228903">
    <w:abstractNumId w:val="9"/>
  </w:num>
  <w:num w:numId="32" w16cid:durableId="2043941639">
    <w:abstractNumId w:val="3"/>
  </w:num>
  <w:num w:numId="33" w16cid:durableId="1155335043">
    <w:abstractNumId w:val="33"/>
  </w:num>
  <w:num w:numId="34" w16cid:durableId="1473981289">
    <w:abstractNumId w:val="35"/>
  </w:num>
  <w:num w:numId="35" w16cid:durableId="1699349153">
    <w:abstractNumId w:val="38"/>
  </w:num>
  <w:num w:numId="36" w16cid:durableId="1357804687">
    <w:abstractNumId w:val="8"/>
  </w:num>
  <w:num w:numId="37" w16cid:durableId="93719049">
    <w:abstractNumId w:val="26"/>
  </w:num>
  <w:num w:numId="38" w16cid:durableId="841821778">
    <w:abstractNumId w:val="2"/>
  </w:num>
  <w:num w:numId="39" w16cid:durableId="1960718203">
    <w:abstractNumId w:val="13"/>
  </w:num>
  <w:num w:numId="40" w16cid:durableId="423842508">
    <w:abstractNumId w:val="30"/>
  </w:num>
  <w:num w:numId="41" w16cid:durableId="1538008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558E7"/>
    <w:rsid w:val="00066121"/>
    <w:rsid w:val="00073088"/>
    <w:rsid w:val="00090014"/>
    <w:rsid w:val="0009271F"/>
    <w:rsid w:val="000947CA"/>
    <w:rsid w:val="000B1132"/>
    <w:rsid w:val="000B5D38"/>
    <w:rsid w:val="000C22C1"/>
    <w:rsid w:val="000D6BCF"/>
    <w:rsid w:val="00166BAE"/>
    <w:rsid w:val="00193FB1"/>
    <w:rsid w:val="001E5FAF"/>
    <w:rsid w:val="001F0A96"/>
    <w:rsid w:val="0021434C"/>
    <w:rsid w:val="00233B61"/>
    <w:rsid w:val="00263E09"/>
    <w:rsid w:val="00292A80"/>
    <w:rsid w:val="002A4E7D"/>
    <w:rsid w:val="00321EB4"/>
    <w:rsid w:val="003430BF"/>
    <w:rsid w:val="00362E40"/>
    <w:rsid w:val="00380FAA"/>
    <w:rsid w:val="0039600A"/>
    <w:rsid w:val="003A440F"/>
    <w:rsid w:val="003E774D"/>
    <w:rsid w:val="003F19A9"/>
    <w:rsid w:val="003F7B02"/>
    <w:rsid w:val="004068B6"/>
    <w:rsid w:val="00455E19"/>
    <w:rsid w:val="00502756"/>
    <w:rsid w:val="0053305C"/>
    <w:rsid w:val="005968C4"/>
    <w:rsid w:val="005D68A3"/>
    <w:rsid w:val="005E3730"/>
    <w:rsid w:val="00624635"/>
    <w:rsid w:val="00627996"/>
    <w:rsid w:val="00653FD8"/>
    <w:rsid w:val="0072078A"/>
    <w:rsid w:val="00741A3D"/>
    <w:rsid w:val="0078416B"/>
    <w:rsid w:val="00785157"/>
    <w:rsid w:val="007C7B30"/>
    <w:rsid w:val="007D405D"/>
    <w:rsid w:val="00803A9E"/>
    <w:rsid w:val="008902AC"/>
    <w:rsid w:val="008A49DD"/>
    <w:rsid w:val="008B4399"/>
    <w:rsid w:val="008E4DFF"/>
    <w:rsid w:val="009037CE"/>
    <w:rsid w:val="00917C5A"/>
    <w:rsid w:val="00944DD4"/>
    <w:rsid w:val="009734CC"/>
    <w:rsid w:val="00997C59"/>
    <w:rsid w:val="009B0CC8"/>
    <w:rsid w:val="009E1D3E"/>
    <w:rsid w:val="00A17398"/>
    <w:rsid w:val="00A86153"/>
    <w:rsid w:val="00A93ECD"/>
    <w:rsid w:val="00AB3E54"/>
    <w:rsid w:val="00AC6E29"/>
    <w:rsid w:val="00AE0294"/>
    <w:rsid w:val="00B218A8"/>
    <w:rsid w:val="00B37126"/>
    <w:rsid w:val="00B554A6"/>
    <w:rsid w:val="00BB5CD2"/>
    <w:rsid w:val="00BC1E70"/>
    <w:rsid w:val="00C05B4F"/>
    <w:rsid w:val="00C06D43"/>
    <w:rsid w:val="00C52BE2"/>
    <w:rsid w:val="00C8355A"/>
    <w:rsid w:val="00C90EFA"/>
    <w:rsid w:val="00C96719"/>
    <w:rsid w:val="00CB2017"/>
    <w:rsid w:val="00CE22F8"/>
    <w:rsid w:val="00D251C0"/>
    <w:rsid w:val="00D47E14"/>
    <w:rsid w:val="00DA6C60"/>
    <w:rsid w:val="00EF082C"/>
    <w:rsid w:val="00EF2E76"/>
    <w:rsid w:val="00F14795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mcdonagh@serlecour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5" ma:contentTypeDescription="Create a new document." ma:contentTypeScope="" ma:versionID="c6c95804f7cb97bec77b11f12495e3e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d2f10404406a9542f743b213b1375136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Props1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5673E-9BE6-4A17-A1BC-576C2DF9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9349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April Fisher</cp:lastModifiedBy>
  <cp:revision>2</cp:revision>
  <dcterms:created xsi:type="dcterms:W3CDTF">2022-10-13T08:18:00Z</dcterms:created>
  <dcterms:modified xsi:type="dcterms:W3CDTF">2022-10-13T08:18:00Z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